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65" w:rsidRDefault="00494D65" w:rsidP="005929D8"/>
    <w:p w:rsidR="00494D65" w:rsidRDefault="00494D65" w:rsidP="005929D8">
      <w:r>
        <w:rPr>
          <w:noProof/>
          <w:lang w:val="es-MX" w:eastAsia="es-MX"/>
        </w:rPr>
        <w:drawing>
          <wp:inline distT="0" distB="0" distL="0" distR="0">
            <wp:extent cx="1533525" cy="1329960"/>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9"/>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494D65" w:rsidRDefault="00494D65" w:rsidP="005929D8"/>
    <w:p w:rsidR="00494D65" w:rsidRDefault="00494D65" w:rsidP="005929D8"/>
    <w:p w:rsidR="00494D65" w:rsidRDefault="00494D65" w:rsidP="00AD7CFE">
      <w:pPr>
        <w:tabs>
          <w:tab w:val="left" w:pos="7380"/>
        </w:tabs>
      </w:pPr>
    </w:p>
    <w:p w:rsidR="00494D65" w:rsidRDefault="00494D65" w:rsidP="005929D8"/>
    <w:p w:rsidR="00494D65" w:rsidRDefault="00494D65" w:rsidP="005929D8"/>
    <w:p w:rsidR="00C56F31" w:rsidRDefault="00C56F31" w:rsidP="005929D8"/>
    <w:p w:rsidR="00C56F31" w:rsidRDefault="00C56F31" w:rsidP="001916F9">
      <w:pPr>
        <w:jc w:val="center"/>
      </w:pPr>
    </w:p>
    <w:p w:rsidR="001916F9" w:rsidRDefault="007D0559" w:rsidP="0012441C">
      <w:pPr>
        <w:jc w:val="center"/>
        <w:rPr>
          <w:rFonts w:ascii="Arial" w:hAnsi="Arial" w:cs="Arial"/>
          <w:b/>
          <w:sz w:val="56"/>
          <w:szCs w:val="56"/>
        </w:rPr>
      </w:pPr>
      <w:r>
        <w:rPr>
          <w:rFonts w:ascii="Arial" w:hAnsi="Arial" w:cs="Arial"/>
          <w:b/>
          <w:sz w:val="56"/>
          <w:szCs w:val="56"/>
        </w:rPr>
        <w:t>COORDINACIÓN FINANCIERA</w:t>
      </w:r>
    </w:p>
    <w:p w:rsidR="001916F9" w:rsidRDefault="001916F9" w:rsidP="001916F9">
      <w:pPr>
        <w:jc w:val="center"/>
        <w:rPr>
          <w:rFonts w:ascii="Arial" w:hAnsi="Arial" w:cs="Arial"/>
          <w:b/>
          <w:sz w:val="56"/>
          <w:szCs w:val="56"/>
        </w:rPr>
      </w:pPr>
    </w:p>
    <w:p w:rsidR="001916F9" w:rsidRDefault="001916F9" w:rsidP="00EA0832">
      <w:pPr>
        <w:jc w:val="center"/>
        <w:rPr>
          <w:rFonts w:ascii="Arial" w:hAnsi="Arial" w:cs="Arial"/>
          <w:b/>
          <w:sz w:val="56"/>
          <w:szCs w:val="56"/>
        </w:rPr>
      </w:pPr>
    </w:p>
    <w:p w:rsidR="008174EB" w:rsidRDefault="008174EB" w:rsidP="00F1326B">
      <w:pPr>
        <w:jc w:val="center"/>
        <w:rPr>
          <w:rFonts w:ascii="Arial" w:hAnsi="Arial" w:cs="Arial"/>
          <w:b/>
          <w:sz w:val="56"/>
          <w:szCs w:val="56"/>
        </w:rPr>
      </w:pPr>
    </w:p>
    <w:p w:rsidR="00C56F31" w:rsidRPr="00AC7F3D" w:rsidRDefault="007D0559" w:rsidP="00C56F31">
      <w:pPr>
        <w:jc w:val="center"/>
        <w:rPr>
          <w:rFonts w:ascii="Arial" w:hAnsi="Arial" w:cs="Arial"/>
          <w:b/>
          <w:color w:val="00863D"/>
          <w:sz w:val="48"/>
          <w:szCs w:val="48"/>
        </w:rPr>
      </w:pPr>
      <w:r>
        <w:rPr>
          <w:rFonts w:ascii="Arial" w:hAnsi="Arial" w:cs="Arial"/>
          <w:b/>
          <w:color w:val="00863D"/>
          <w:sz w:val="48"/>
          <w:szCs w:val="48"/>
        </w:rPr>
        <w:t xml:space="preserve">Lineamientos para </w:t>
      </w:r>
      <w:r w:rsidR="00CE197B">
        <w:rPr>
          <w:rFonts w:ascii="Arial" w:hAnsi="Arial" w:cs="Arial"/>
          <w:b/>
          <w:color w:val="00863D"/>
          <w:sz w:val="48"/>
          <w:szCs w:val="48"/>
        </w:rPr>
        <w:t>la</w:t>
      </w:r>
      <w:r>
        <w:rPr>
          <w:rFonts w:ascii="Arial" w:hAnsi="Arial" w:cs="Arial"/>
          <w:b/>
          <w:color w:val="00863D"/>
          <w:sz w:val="48"/>
          <w:szCs w:val="48"/>
        </w:rPr>
        <w:t xml:space="preserve"> </w:t>
      </w:r>
      <w:r w:rsidR="00CE197B">
        <w:rPr>
          <w:rFonts w:ascii="Arial" w:hAnsi="Arial" w:cs="Arial"/>
          <w:b/>
          <w:color w:val="00863D"/>
          <w:sz w:val="48"/>
          <w:szCs w:val="48"/>
        </w:rPr>
        <w:t>elaboración y emisión del dictamen resolutivo financiero</w:t>
      </w:r>
    </w:p>
    <w:p w:rsidR="003D1A3A" w:rsidRPr="00EA0832" w:rsidRDefault="003D1A3A" w:rsidP="00EA0832">
      <w:pPr>
        <w:ind w:right="34"/>
        <w:rPr>
          <w:rFonts w:ascii="Arial" w:hAnsi="Arial" w:cs="Arial"/>
          <w:color w:val="00863D"/>
          <w:sz w:val="20"/>
          <w:szCs w:val="20"/>
        </w:rPr>
      </w:pPr>
    </w:p>
    <w:p w:rsidR="003D1A3A" w:rsidRPr="00EA0832" w:rsidRDefault="003D1A3A" w:rsidP="00EA0832">
      <w:pPr>
        <w:ind w:right="34"/>
        <w:rPr>
          <w:rFonts w:ascii="Arial" w:hAnsi="Arial" w:cs="Arial"/>
          <w:color w:val="00863D"/>
          <w:sz w:val="20"/>
          <w:szCs w:val="20"/>
        </w:rPr>
      </w:pPr>
    </w:p>
    <w:p w:rsidR="006829EF" w:rsidRPr="00A81B5E" w:rsidRDefault="006829EF" w:rsidP="006829EF">
      <w:pPr>
        <w:ind w:right="34"/>
        <w:rPr>
          <w:rFonts w:ascii="Arial" w:hAnsi="Arial" w:cs="Arial"/>
          <w:color w:val="00863D"/>
          <w:sz w:val="20"/>
          <w:szCs w:val="20"/>
        </w:rPr>
      </w:pPr>
    </w:p>
    <w:p w:rsidR="00086CEB" w:rsidRDefault="00086CEB"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A81B5E" w:rsidRDefault="00A81B5E" w:rsidP="006829EF">
      <w:pPr>
        <w:ind w:right="34"/>
        <w:rPr>
          <w:rFonts w:ascii="Arial" w:hAnsi="Arial" w:cs="Arial"/>
          <w:color w:val="00863D"/>
          <w:sz w:val="20"/>
          <w:szCs w:val="20"/>
        </w:rPr>
      </w:pPr>
    </w:p>
    <w:p w:rsidR="00490C22" w:rsidRDefault="00490C22" w:rsidP="006829EF">
      <w:pPr>
        <w:ind w:right="34"/>
        <w:rPr>
          <w:rFonts w:ascii="Arial" w:hAnsi="Arial" w:cs="Arial"/>
          <w:color w:val="00863D"/>
          <w:sz w:val="20"/>
          <w:szCs w:val="20"/>
        </w:rPr>
      </w:pPr>
    </w:p>
    <w:p w:rsidR="00490C22" w:rsidRDefault="00490C22" w:rsidP="006829EF">
      <w:pPr>
        <w:ind w:right="34"/>
        <w:rPr>
          <w:rFonts w:ascii="Arial" w:hAnsi="Arial" w:cs="Arial"/>
          <w:color w:val="00863D"/>
          <w:sz w:val="20"/>
          <w:szCs w:val="20"/>
        </w:rPr>
      </w:pPr>
    </w:p>
    <w:p w:rsidR="00490C22" w:rsidRDefault="00490C22" w:rsidP="006829EF">
      <w:pPr>
        <w:ind w:right="34"/>
        <w:rPr>
          <w:rFonts w:ascii="Arial" w:hAnsi="Arial" w:cs="Arial"/>
          <w:color w:val="00863D"/>
          <w:sz w:val="20"/>
          <w:szCs w:val="20"/>
        </w:rPr>
      </w:pPr>
    </w:p>
    <w:p w:rsidR="00490C22" w:rsidRDefault="00490C22" w:rsidP="006829EF">
      <w:pPr>
        <w:ind w:right="34"/>
        <w:rPr>
          <w:rFonts w:ascii="Arial" w:hAnsi="Arial" w:cs="Arial"/>
          <w:color w:val="00863D"/>
          <w:sz w:val="20"/>
          <w:szCs w:val="20"/>
        </w:rPr>
      </w:pPr>
    </w:p>
    <w:p w:rsidR="005504BD" w:rsidRPr="00A81B5E" w:rsidRDefault="005504BD" w:rsidP="00EA0832">
      <w:pPr>
        <w:ind w:right="34"/>
        <w:rPr>
          <w:rFonts w:ascii="Arial" w:hAnsi="Arial" w:cs="Arial"/>
          <w:color w:val="00863D"/>
          <w:sz w:val="20"/>
          <w:szCs w:val="20"/>
        </w:rPr>
      </w:pPr>
    </w:p>
    <w:p w:rsidR="00AF3FBE" w:rsidRPr="00EA0832" w:rsidRDefault="00AF3FBE" w:rsidP="00EA0832">
      <w:pPr>
        <w:ind w:right="34"/>
        <w:rPr>
          <w:rFonts w:ascii="Arial" w:hAnsi="Arial" w:cs="Arial"/>
          <w:color w:val="00863D"/>
          <w:sz w:val="20"/>
          <w:szCs w:val="20"/>
        </w:rPr>
        <w:sectPr w:rsidR="00AF3FBE" w:rsidRPr="00EA0832" w:rsidSect="00461F4D">
          <w:headerReference w:type="default" r:id="rId10"/>
          <w:footerReference w:type="default" r:id="rId11"/>
          <w:footerReference w:type="first" r:id="rId12"/>
          <w:pgSz w:w="12240" w:h="15840"/>
          <w:pgMar w:top="851" w:right="1418" w:bottom="1418" w:left="1418" w:header="284" w:footer="0" w:gutter="0"/>
          <w:pgNumType w:start="1"/>
          <w:cols w:space="708"/>
          <w:titlePg/>
          <w:docGrid w:linePitch="326"/>
        </w:sectPr>
      </w:pPr>
    </w:p>
    <w:p w:rsidR="009E1A6B" w:rsidRDefault="009E1A6B" w:rsidP="00D8467F">
      <w:pPr>
        <w:jc w:val="right"/>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9E1A6B" w:rsidRDefault="009E1A6B" w:rsidP="00D8467F">
      <w:pPr>
        <w:jc w:val="right"/>
        <w:rPr>
          <w:rFonts w:ascii="Arial" w:hAnsi="Arial" w:cs="Arial"/>
          <w:b/>
          <w:color w:val="00863D"/>
        </w:rPr>
      </w:pPr>
      <w:r w:rsidRPr="009E1A6B">
        <w:rPr>
          <w:rFonts w:ascii="Arial" w:hAnsi="Arial" w:cs="Arial"/>
          <w:b/>
          <w:color w:val="00863D"/>
        </w:rPr>
        <w:t>______________________________________________________________________</w:t>
      </w:r>
    </w:p>
    <w:p w:rsidR="00EA0832" w:rsidRPr="00EA0832" w:rsidRDefault="00EA0832" w:rsidP="009E1A6B">
      <w:pPr>
        <w:ind w:right="34"/>
        <w:rPr>
          <w:rFonts w:ascii="Arial" w:hAnsi="Arial" w:cs="Arial"/>
          <w:b/>
          <w:color w:val="00863D"/>
          <w:sz w:val="2"/>
          <w:szCs w:val="2"/>
        </w:rPr>
      </w:pPr>
    </w:p>
    <w:tbl>
      <w:tblPr>
        <w:tblW w:w="7513" w:type="dxa"/>
        <w:jc w:val="center"/>
        <w:tblLayout w:type="fixed"/>
        <w:tblLook w:val="00A0" w:firstRow="1" w:lastRow="0" w:firstColumn="1" w:lastColumn="0" w:noHBand="0" w:noVBand="0"/>
      </w:tblPr>
      <w:tblGrid>
        <w:gridCol w:w="7513"/>
      </w:tblGrid>
      <w:tr w:rsidR="00F1326B" w:rsidRPr="006568C5" w:rsidTr="00D8467F">
        <w:trPr>
          <w:trHeight w:val="9637"/>
          <w:jc w:val="center"/>
        </w:trPr>
        <w:tc>
          <w:tcPr>
            <w:tcW w:w="8222" w:type="dxa"/>
          </w:tcPr>
          <w:tbl>
            <w:tblPr>
              <w:tblW w:w="7513" w:type="dxa"/>
              <w:tblLayout w:type="fixed"/>
              <w:tblLook w:val="00A0" w:firstRow="1" w:lastRow="0" w:firstColumn="1" w:lastColumn="0" w:noHBand="0" w:noVBand="0"/>
            </w:tblPr>
            <w:tblGrid>
              <w:gridCol w:w="7513"/>
            </w:tblGrid>
            <w:tr w:rsidR="003C66DE" w:rsidRPr="006568C5" w:rsidTr="004D4DD4">
              <w:trPr>
                <w:trHeight w:val="9637"/>
              </w:trPr>
              <w:tc>
                <w:tcPr>
                  <w:tcW w:w="7513" w:type="dxa"/>
                </w:tcPr>
                <w:tbl>
                  <w:tblPr>
                    <w:tblStyle w:val="Tablaconcuadrcula"/>
                    <w:tblpPr w:leftFromText="141" w:rightFromText="141" w:vertAnchor="text" w:horzAnchor="page" w:tblpXSpec="center" w:tblpY="90"/>
                    <w:tblOverlap w:val="never"/>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60"/>
                    <w:gridCol w:w="1578"/>
                  </w:tblGrid>
                  <w:tr w:rsidR="00E53B09" w:rsidRPr="001D0B04" w:rsidTr="000F082B">
                    <w:tc>
                      <w:tcPr>
                        <w:tcW w:w="6360" w:type="dxa"/>
                      </w:tcPr>
                      <w:p w:rsidR="00E53B09" w:rsidRPr="006101D3" w:rsidRDefault="00E53B09" w:rsidP="000F082B">
                        <w:pPr>
                          <w:spacing w:line="360" w:lineRule="auto"/>
                          <w:ind w:left="57" w:right="57"/>
                        </w:pPr>
                      </w:p>
                    </w:tc>
                    <w:tc>
                      <w:tcPr>
                        <w:tcW w:w="1578" w:type="dxa"/>
                        <w:vAlign w:val="center"/>
                      </w:tcPr>
                      <w:p w:rsidR="00E53B09" w:rsidRDefault="00E53B09" w:rsidP="000F082B">
                        <w:pPr>
                          <w:ind w:left="57" w:right="737"/>
                          <w:jc w:val="right"/>
                          <w:rPr>
                            <w:rFonts w:ascii="Arial" w:hAnsi="Arial" w:cs="Arial"/>
                          </w:rPr>
                        </w:pPr>
                      </w:p>
                    </w:tc>
                  </w:tr>
                  <w:tr w:rsidR="00E53B09" w:rsidRPr="001D0B04" w:rsidTr="000F082B">
                    <w:tc>
                      <w:tcPr>
                        <w:tcW w:w="6360" w:type="dxa"/>
                      </w:tcPr>
                      <w:p w:rsidR="00E53B09" w:rsidRPr="006101D3" w:rsidRDefault="00E53B09" w:rsidP="000F082B">
                        <w:pPr>
                          <w:tabs>
                            <w:tab w:val="left" w:leader="hyphen" w:pos="6784"/>
                          </w:tabs>
                          <w:spacing w:line="360" w:lineRule="auto"/>
                          <w:ind w:left="57" w:right="57"/>
                          <w:rPr>
                            <w:rFonts w:ascii="Arial" w:hAnsi="Arial" w:cs="Arial"/>
                            <w:bCs/>
                            <w:noProof/>
                            <w:color w:val="000000"/>
                          </w:rPr>
                        </w:pPr>
                      </w:p>
                    </w:tc>
                    <w:tc>
                      <w:tcPr>
                        <w:tcW w:w="1578" w:type="dxa"/>
                        <w:vAlign w:val="center"/>
                      </w:tcPr>
                      <w:p w:rsidR="00E53B09" w:rsidRPr="001D0B04" w:rsidRDefault="00E53B09" w:rsidP="000F082B">
                        <w:pPr>
                          <w:ind w:left="57" w:right="737"/>
                          <w:jc w:val="right"/>
                          <w:rPr>
                            <w:rFonts w:ascii="Arial" w:hAnsi="Arial" w:cs="Arial"/>
                          </w:rPr>
                        </w:pPr>
                      </w:p>
                    </w:tc>
                  </w:tr>
                  <w:tr w:rsidR="00E53B09" w:rsidRPr="001D0B04" w:rsidTr="000F082B">
                    <w:tc>
                      <w:tcPr>
                        <w:tcW w:w="6360" w:type="dxa"/>
                      </w:tcPr>
                      <w:p w:rsidR="00E53B09" w:rsidRPr="006101D3" w:rsidRDefault="00E53B09" w:rsidP="000F082B">
                        <w:pPr>
                          <w:tabs>
                            <w:tab w:val="left" w:leader="hyphen" w:pos="6784"/>
                          </w:tabs>
                          <w:spacing w:line="360" w:lineRule="auto"/>
                          <w:ind w:left="57" w:right="57"/>
                          <w:rPr>
                            <w:rFonts w:ascii="Arial" w:hAnsi="Arial" w:cs="Arial"/>
                            <w:bCs/>
                            <w:noProof/>
                            <w:color w:val="000000"/>
                          </w:rPr>
                        </w:pPr>
                      </w:p>
                    </w:tc>
                    <w:tc>
                      <w:tcPr>
                        <w:tcW w:w="1578" w:type="dxa"/>
                        <w:vAlign w:val="center"/>
                      </w:tcPr>
                      <w:p w:rsidR="00E53B09" w:rsidRPr="001D0B04" w:rsidRDefault="00E53B09" w:rsidP="000F082B">
                        <w:pPr>
                          <w:ind w:left="57" w:right="737"/>
                          <w:jc w:val="right"/>
                          <w:rPr>
                            <w:rFonts w:ascii="Arial" w:hAnsi="Arial" w:cs="Arial"/>
                          </w:rPr>
                        </w:pPr>
                      </w:p>
                    </w:tc>
                  </w:tr>
                  <w:tr w:rsidR="00E53B09" w:rsidRPr="001D0B04" w:rsidTr="000F082B">
                    <w:tc>
                      <w:tcPr>
                        <w:tcW w:w="6360" w:type="dxa"/>
                      </w:tcPr>
                      <w:p w:rsidR="00E53B09" w:rsidRPr="006101D3" w:rsidRDefault="00E53B09" w:rsidP="000F082B">
                        <w:pPr>
                          <w:spacing w:line="360" w:lineRule="auto"/>
                          <w:ind w:left="57" w:right="57"/>
                          <w:rPr>
                            <w:rFonts w:ascii="Arial" w:hAnsi="Arial" w:cs="Arial"/>
                            <w:bCs/>
                            <w:noProof/>
                            <w:color w:val="000000"/>
                          </w:rPr>
                        </w:pPr>
                        <w:r w:rsidRPr="006101D3">
                          <w:rPr>
                            <w:rFonts w:ascii="Arial" w:hAnsi="Arial" w:cs="Arial"/>
                            <w:bCs/>
                            <w:noProof/>
                            <w:color w:val="000000"/>
                            <w:sz w:val="22"/>
                            <w:szCs w:val="22"/>
                          </w:rPr>
                          <w:t>Presentación</w:t>
                        </w:r>
                      </w:p>
                    </w:tc>
                    <w:tc>
                      <w:tcPr>
                        <w:tcW w:w="1578" w:type="dxa"/>
                        <w:vAlign w:val="center"/>
                      </w:tcPr>
                      <w:p w:rsidR="00E53B09" w:rsidRPr="00E53B09" w:rsidRDefault="00E53B09" w:rsidP="000F082B">
                        <w:pPr>
                          <w:ind w:left="57" w:right="737"/>
                          <w:jc w:val="right"/>
                          <w:rPr>
                            <w:rFonts w:ascii="Arial" w:hAnsi="Arial" w:cs="Arial"/>
                            <w:sz w:val="22"/>
                            <w:szCs w:val="22"/>
                          </w:rPr>
                        </w:pPr>
                        <w:r w:rsidRPr="00E53B09">
                          <w:rPr>
                            <w:rFonts w:ascii="Arial" w:hAnsi="Arial" w:cs="Arial"/>
                            <w:sz w:val="22"/>
                            <w:szCs w:val="22"/>
                          </w:rPr>
                          <w:t>3</w:t>
                        </w:r>
                      </w:p>
                    </w:tc>
                  </w:tr>
                  <w:tr w:rsidR="00E53B09" w:rsidRPr="001D0B04" w:rsidTr="000F082B">
                    <w:tc>
                      <w:tcPr>
                        <w:tcW w:w="6360" w:type="dxa"/>
                      </w:tcPr>
                      <w:p w:rsidR="00E53B09" w:rsidRPr="006101D3" w:rsidRDefault="00E53B09" w:rsidP="000F082B">
                        <w:pPr>
                          <w:spacing w:line="360" w:lineRule="auto"/>
                          <w:ind w:left="57" w:right="57"/>
                          <w:rPr>
                            <w:rFonts w:ascii="Arial" w:hAnsi="Arial" w:cs="Arial"/>
                            <w:color w:val="000000"/>
                          </w:rPr>
                        </w:pPr>
                        <w:r w:rsidRPr="006101D3">
                          <w:rPr>
                            <w:rFonts w:ascii="Arial" w:hAnsi="Arial" w:cs="Arial"/>
                            <w:bCs/>
                            <w:noProof/>
                            <w:color w:val="000000"/>
                            <w:sz w:val="22"/>
                            <w:szCs w:val="22"/>
                          </w:rPr>
                          <w:t>Objetivo</w:t>
                        </w:r>
                      </w:p>
                    </w:tc>
                    <w:tc>
                      <w:tcPr>
                        <w:tcW w:w="1578" w:type="dxa"/>
                        <w:vAlign w:val="center"/>
                      </w:tcPr>
                      <w:p w:rsidR="00E53B09" w:rsidRPr="00E53B09" w:rsidRDefault="00A51F84" w:rsidP="000F082B">
                        <w:pPr>
                          <w:ind w:left="57" w:right="737"/>
                          <w:jc w:val="right"/>
                          <w:rPr>
                            <w:rFonts w:ascii="Arial" w:hAnsi="Arial" w:cs="Arial"/>
                            <w:sz w:val="22"/>
                            <w:szCs w:val="22"/>
                          </w:rPr>
                        </w:pPr>
                        <w:r>
                          <w:rPr>
                            <w:rFonts w:ascii="Arial" w:hAnsi="Arial" w:cs="Arial"/>
                            <w:sz w:val="22"/>
                            <w:szCs w:val="22"/>
                          </w:rPr>
                          <w:t>6</w:t>
                        </w:r>
                      </w:p>
                    </w:tc>
                  </w:tr>
                  <w:tr w:rsidR="00E53B09" w:rsidRPr="001D0B04" w:rsidTr="000F082B">
                    <w:tc>
                      <w:tcPr>
                        <w:tcW w:w="6360" w:type="dxa"/>
                      </w:tcPr>
                      <w:p w:rsidR="00E53B09" w:rsidRPr="006101D3" w:rsidRDefault="00E53B09" w:rsidP="000F082B">
                        <w:pPr>
                          <w:tabs>
                            <w:tab w:val="left" w:pos="6804"/>
                          </w:tabs>
                          <w:spacing w:line="360" w:lineRule="auto"/>
                          <w:ind w:left="57" w:right="57"/>
                          <w:rPr>
                            <w:rFonts w:ascii="Arial" w:hAnsi="Arial" w:cs="Arial"/>
                            <w:bCs/>
                            <w:noProof/>
                            <w:color w:val="000000"/>
                          </w:rPr>
                        </w:pPr>
                        <w:r w:rsidRPr="006101D3">
                          <w:rPr>
                            <w:rFonts w:ascii="Arial" w:hAnsi="Arial" w:cs="Arial"/>
                            <w:bCs/>
                            <w:noProof/>
                            <w:color w:val="000000"/>
                            <w:sz w:val="22"/>
                            <w:szCs w:val="22"/>
                          </w:rPr>
                          <w:t>Marco</w:t>
                        </w:r>
                        <w:r>
                          <w:rPr>
                            <w:rFonts w:ascii="Arial" w:hAnsi="Arial" w:cs="Arial"/>
                            <w:bCs/>
                            <w:noProof/>
                            <w:color w:val="000000"/>
                            <w:sz w:val="22"/>
                            <w:szCs w:val="22"/>
                          </w:rPr>
                          <w:t xml:space="preserve"> </w:t>
                        </w:r>
                        <w:r w:rsidRPr="006101D3">
                          <w:rPr>
                            <w:rFonts w:ascii="Arial" w:hAnsi="Arial" w:cs="Arial"/>
                            <w:bCs/>
                            <w:noProof/>
                            <w:color w:val="000000"/>
                            <w:sz w:val="22"/>
                            <w:szCs w:val="22"/>
                          </w:rPr>
                          <w:t>jurídico</w:t>
                        </w:r>
                      </w:p>
                    </w:tc>
                    <w:tc>
                      <w:tcPr>
                        <w:tcW w:w="1578" w:type="dxa"/>
                        <w:vAlign w:val="center"/>
                      </w:tcPr>
                      <w:p w:rsidR="00E53B09" w:rsidRPr="00E53B09" w:rsidRDefault="00A51F84" w:rsidP="000F082B">
                        <w:pPr>
                          <w:ind w:left="57" w:right="737"/>
                          <w:jc w:val="right"/>
                          <w:rPr>
                            <w:rFonts w:ascii="Arial" w:hAnsi="Arial" w:cs="Arial"/>
                            <w:sz w:val="22"/>
                            <w:szCs w:val="22"/>
                          </w:rPr>
                        </w:pPr>
                        <w:r>
                          <w:rPr>
                            <w:rFonts w:ascii="Arial" w:hAnsi="Arial" w:cs="Arial"/>
                            <w:sz w:val="22"/>
                            <w:szCs w:val="22"/>
                          </w:rPr>
                          <w:t>7</w:t>
                        </w:r>
                      </w:p>
                    </w:tc>
                  </w:tr>
                  <w:tr w:rsidR="00E53B09" w:rsidRPr="001D0B04" w:rsidTr="000F082B">
                    <w:tc>
                      <w:tcPr>
                        <w:tcW w:w="6360" w:type="dxa"/>
                      </w:tcPr>
                      <w:p w:rsidR="00E53B09" w:rsidRPr="00E53B09" w:rsidRDefault="00E53B09" w:rsidP="000F082B">
                        <w:pPr>
                          <w:tabs>
                            <w:tab w:val="left" w:pos="6804"/>
                          </w:tabs>
                          <w:spacing w:line="360" w:lineRule="auto"/>
                          <w:ind w:left="57" w:right="57"/>
                          <w:rPr>
                            <w:rFonts w:ascii="Arial" w:hAnsi="Arial" w:cs="Arial"/>
                            <w:bCs/>
                            <w:noProof/>
                            <w:color w:val="000000"/>
                            <w:sz w:val="22"/>
                            <w:szCs w:val="22"/>
                          </w:rPr>
                        </w:pPr>
                        <w:r w:rsidRPr="006101D3">
                          <w:rPr>
                            <w:rFonts w:ascii="Arial" w:hAnsi="Arial" w:cs="Arial"/>
                            <w:bCs/>
                            <w:noProof/>
                            <w:color w:val="000000"/>
                            <w:sz w:val="22"/>
                            <w:szCs w:val="22"/>
                          </w:rPr>
                          <w:t>Contenido</w:t>
                        </w:r>
                      </w:p>
                    </w:tc>
                    <w:tc>
                      <w:tcPr>
                        <w:tcW w:w="1578" w:type="dxa"/>
                        <w:vAlign w:val="bottom"/>
                      </w:tcPr>
                      <w:p w:rsidR="00E53B09" w:rsidRPr="00E53B09" w:rsidRDefault="00A51F84" w:rsidP="000F082B">
                        <w:pPr>
                          <w:ind w:left="57" w:right="737"/>
                          <w:jc w:val="right"/>
                          <w:rPr>
                            <w:rFonts w:ascii="Arial" w:hAnsi="Arial" w:cs="Arial"/>
                            <w:sz w:val="22"/>
                            <w:szCs w:val="22"/>
                          </w:rPr>
                        </w:pPr>
                        <w:r>
                          <w:rPr>
                            <w:rFonts w:ascii="Arial" w:hAnsi="Arial" w:cs="Arial"/>
                            <w:sz w:val="22"/>
                            <w:szCs w:val="22"/>
                          </w:rPr>
                          <w:t>8</w:t>
                        </w:r>
                      </w:p>
                    </w:tc>
                  </w:tr>
                  <w:tr w:rsidR="002460A8" w:rsidRPr="001D0B04" w:rsidTr="000F082B">
                    <w:trPr>
                      <w:trHeight w:val="191"/>
                    </w:trPr>
                    <w:tc>
                      <w:tcPr>
                        <w:tcW w:w="6360" w:type="dxa"/>
                      </w:tcPr>
                      <w:p w:rsidR="002460A8" w:rsidRPr="009F10A5" w:rsidRDefault="00E53B09" w:rsidP="000F082B">
                        <w:pPr>
                          <w:tabs>
                            <w:tab w:val="left" w:pos="6804"/>
                          </w:tabs>
                          <w:spacing w:line="360" w:lineRule="auto"/>
                          <w:ind w:left="57" w:right="57"/>
                          <w:rPr>
                            <w:rFonts w:ascii="Arial" w:hAnsi="Arial" w:cs="Arial"/>
                          </w:rPr>
                        </w:pPr>
                        <w:r>
                          <w:rPr>
                            <w:rFonts w:ascii="Arial" w:hAnsi="Arial" w:cs="Arial"/>
                            <w:bCs/>
                            <w:noProof/>
                            <w:color w:val="000000"/>
                            <w:sz w:val="22"/>
                            <w:szCs w:val="22"/>
                          </w:rPr>
                          <w:t>Transitorios</w:t>
                        </w:r>
                      </w:p>
                    </w:tc>
                    <w:tc>
                      <w:tcPr>
                        <w:tcW w:w="1578" w:type="dxa"/>
                        <w:vAlign w:val="center"/>
                      </w:tcPr>
                      <w:p w:rsidR="002460A8" w:rsidRPr="00E53B09" w:rsidRDefault="00A93D17" w:rsidP="000F082B">
                        <w:pPr>
                          <w:ind w:left="57" w:right="737"/>
                          <w:jc w:val="right"/>
                          <w:rPr>
                            <w:rFonts w:ascii="Arial" w:hAnsi="Arial" w:cs="Arial"/>
                            <w:sz w:val="22"/>
                            <w:szCs w:val="22"/>
                          </w:rPr>
                        </w:pPr>
                        <w:r>
                          <w:rPr>
                            <w:rFonts w:ascii="Arial" w:hAnsi="Arial" w:cs="Arial"/>
                            <w:sz w:val="22"/>
                            <w:szCs w:val="22"/>
                          </w:rPr>
                          <w:t>22</w:t>
                        </w:r>
                      </w:p>
                    </w:tc>
                  </w:tr>
                  <w:tr w:rsidR="002460A8" w:rsidRPr="001D0B04" w:rsidTr="000F082B">
                    <w:trPr>
                      <w:trHeight w:val="444"/>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22"/>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15"/>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20"/>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12"/>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19"/>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25"/>
                    </w:trPr>
                    <w:tc>
                      <w:tcPr>
                        <w:tcW w:w="6360" w:type="dxa"/>
                        <w:vAlign w:val="center"/>
                      </w:tcPr>
                      <w:p w:rsidR="002460A8" w:rsidRPr="002460A8" w:rsidRDefault="002460A8" w:rsidP="000F082B">
                        <w:pPr>
                          <w:tabs>
                            <w:tab w:val="left" w:pos="5557"/>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45"/>
                    </w:trPr>
                    <w:tc>
                      <w:tcPr>
                        <w:tcW w:w="6360" w:type="dxa"/>
                        <w:vAlign w:val="center"/>
                      </w:tcPr>
                      <w:p w:rsidR="002460A8" w:rsidRPr="001D0B04" w:rsidRDefault="002460A8" w:rsidP="000F082B">
                        <w:pPr>
                          <w:tabs>
                            <w:tab w:val="left" w:pos="6555"/>
                          </w:tabs>
                          <w:spacing w:line="360" w:lineRule="auto"/>
                          <w:ind w:left="57" w:right="57"/>
                          <w:rPr>
                            <w:rFonts w:ascii="Arial" w:hAnsi="Arial" w:cs="Arial"/>
                          </w:rPr>
                        </w:pPr>
                      </w:p>
                    </w:tc>
                    <w:tc>
                      <w:tcPr>
                        <w:tcW w:w="1578" w:type="dxa"/>
                        <w:vAlign w:val="center"/>
                      </w:tcPr>
                      <w:p w:rsidR="002460A8" w:rsidRPr="001D0B04" w:rsidRDefault="002460A8" w:rsidP="000F082B">
                        <w:pPr>
                          <w:ind w:left="57" w:right="737"/>
                          <w:jc w:val="right"/>
                          <w:rPr>
                            <w:rFonts w:ascii="Arial" w:hAnsi="Arial" w:cs="Arial"/>
                          </w:rPr>
                        </w:pPr>
                      </w:p>
                    </w:tc>
                  </w:tr>
                  <w:tr w:rsidR="002460A8" w:rsidRPr="001D0B04" w:rsidTr="000F082B">
                    <w:trPr>
                      <w:trHeight w:val="20"/>
                    </w:trPr>
                    <w:tc>
                      <w:tcPr>
                        <w:tcW w:w="6360" w:type="dxa"/>
                        <w:vAlign w:val="center"/>
                      </w:tcPr>
                      <w:p w:rsidR="002460A8" w:rsidRPr="009F10A5" w:rsidRDefault="002460A8" w:rsidP="000F082B">
                        <w:pPr>
                          <w:tabs>
                            <w:tab w:val="left" w:pos="6555"/>
                          </w:tabs>
                          <w:spacing w:line="360" w:lineRule="auto"/>
                          <w:ind w:left="57" w:right="57"/>
                          <w:rPr>
                            <w:rFonts w:ascii="Arial" w:hAnsi="Arial" w:cs="Arial"/>
                          </w:rPr>
                        </w:pPr>
                      </w:p>
                    </w:tc>
                    <w:tc>
                      <w:tcPr>
                        <w:tcW w:w="1578" w:type="dxa"/>
                        <w:vAlign w:val="center"/>
                      </w:tcPr>
                      <w:p w:rsidR="002460A8" w:rsidRDefault="002460A8" w:rsidP="000F082B">
                        <w:pPr>
                          <w:spacing w:line="360" w:lineRule="auto"/>
                          <w:ind w:left="57" w:right="737"/>
                          <w:jc w:val="right"/>
                          <w:rPr>
                            <w:rFonts w:ascii="Arial" w:hAnsi="Arial" w:cs="Arial"/>
                          </w:rPr>
                        </w:pPr>
                      </w:p>
                    </w:tc>
                  </w:tr>
                  <w:tr w:rsidR="002460A8" w:rsidRPr="001D0B04" w:rsidTr="000F082B">
                    <w:trPr>
                      <w:trHeight w:val="20"/>
                    </w:trPr>
                    <w:tc>
                      <w:tcPr>
                        <w:tcW w:w="6360" w:type="dxa"/>
                      </w:tcPr>
                      <w:p w:rsidR="002460A8" w:rsidRPr="002460A8" w:rsidRDefault="002460A8" w:rsidP="000F082B">
                        <w:pPr>
                          <w:tabs>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12"/>
                    </w:trPr>
                    <w:tc>
                      <w:tcPr>
                        <w:tcW w:w="6360" w:type="dxa"/>
                      </w:tcPr>
                      <w:p w:rsidR="002460A8" w:rsidRPr="002460A8" w:rsidRDefault="002460A8" w:rsidP="000F082B">
                        <w:pPr>
                          <w:tabs>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18"/>
                    </w:trPr>
                    <w:tc>
                      <w:tcPr>
                        <w:tcW w:w="6360" w:type="dxa"/>
                      </w:tcPr>
                      <w:p w:rsidR="002460A8" w:rsidRPr="00AF49D4" w:rsidRDefault="002460A8" w:rsidP="000F082B">
                        <w:pPr>
                          <w:pStyle w:val="Prrafodelista"/>
                          <w:tabs>
                            <w:tab w:val="left" w:pos="6555"/>
                          </w:tabs>
                          <w:spacing w:line="360" w:lineRule="auto"/>
                          <w:ind w:left="57" w:right="57"/>
                          <w:contextualSpacing w:val="0"/>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rPr>
                      <w:trHeight w:val="425"/>
                    </w:trPr>
                    <w:tc>
                      <w:tcPr>
                        <w:tcW w:w="6360" w:type="dxa"/>
                      </w:tcPr>
                      <w:p w:rsidR="002460A8" w:rsidRPr="00AF49D4" w:rsidRDefault="002460A8" w:rsidP="000F082B">
                        <w:pPr>
                          <w:pStyle w:val="Prrafodelista"/>
                          <w:tabs>
                            <w:tab w:val="left" w:pos="6555"/>
                          </w:tabs>
                          <w:spacing w:line="360" w:lineRule="auto"/>
                          <w:ind w:left="57" w:right="57"/>
                          <w:contextualSpacing w:val="0"/>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c>
                      <w:tcPr>
                        <w:tcW w:w="6360" w:type="dxa"/>
                      </w:tcPr>
                      <w:p w:rsidR="002460A8" w:rsidRPr="002460A8" w:rsidRDefault="002460A8" w:rsidP="000F082B">
                        <w:pPr>
                          <w:tabs>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2460A8" w:rsidRPr="001D0B04" w:rsidTr="000F082B">
                    <w:tc>
                      <w:tcPr>
                        <w:tcW w:w="6360" w:type="dxa"/>
                      </w:tcPr>
                      <w:p w:rsidR="002460A8" w:rsidRPr="009F10A5" w:rsidRDefault="002460A8" w:rsidP="000F082B">
                        <w:pPr>
                          <w:tabs>
                            <w:tab w:val="left" w:pos="6555"/>
                          </w:tabs>
                          <w:spacing w:line="360" w:lineRule="auto"/>
                          <w:ind w:left="57" w:right="57"/>
                          <w:rPr>
                            <w:rFonts w:ascii="Arial" w:hAnsi="Arial" w:cs="Arial"/>
                          </w:rPr>
                        </w:pPr>
                      </w:p>
                    </w:tc>
                    <w:tc>
                      <w:tcPr>
                        <w:tcW w:w="1578" w:type="dxa"/>
                        <w:vAlign w:val="center"/>
                      </w:tcPr>
                      <w:p w:rsidR="002460A8" w:rsidRDefault="002460A8"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r w:rsidR="00490C22" w:rsidRPr="001D0B04" w:rsidTr="000F082B">
                    <w:tc>
                      <w:tcPr>
                        <w:tcW w:w="6360" w:type="dxa"/>
                      </w:tcPr>
                      <w:p w:rsidR="00490C22" w:rsidRPr="009F10A5" w:rsidRDefault="00490C22" w:rsidP="000F082B">
                        <w:pPr>
                          <w:tabs>
                            <w:tab w:val="left" w:pos="6555"/>
                          </w:tabs>
                          <w:spacing w:line="360" w:lineRule="auto"/>
                          <w:ind w:left="57" w:right="57"/>
                          <w:rPr>
                            <w:rFonts w:ascii="Arial" w:hAnsi="Arial" w:cs="Arial"/>
                          </w:rPr>
                        </w:pPr>
                      </w:p>
                    </w:tc>
                    <w:tc>
                      <w:tcPr>
                        <w:tcW w:w="1578" w:type="dxa"/>
                        <w:vAlign w:val="center"/>
                      </w:tcPr>
                      <w:p w:rsidR="00490C22" w:rsidRDefault="00490C22" w:rsidP="000F082B">
                        <w:pPr>
                          <w:ind w:left="57" w:right="737"/>
                          <w:jc w:val="right"/>
                          <w:rPr>
                            <w:rFonts w:ascii="Arial" w:hAnsi="Arial" w:cs="Arial"/>
                          </w:rPr>
                        </w:pPr>
                      </w:p>
                    </w:tc>
                  </w:tr>
                </w:tbl>
                <w:p w:rsidR="003C66DE" w:rsidRPr="00812E82" w:rsidRDefault="003C66DE" w:rsidP="003C66DE">
                  <w:pPr>
                    <w:tabs>
                      <w:tab w:val="left" w:pos="6853"/>
                      <w:tab w:val="left" w:pos="7297"/>
                      <w:tab w:val="left" w:pos="7405"/>
                      <w:tab w:val="left" w:pos="7547"/>
                    </w:tabs>
                    <w:ind w:left="360" w:right="-250"/>
                    <w:jc w:val="both"/>
                    <w:rPr>
                      <w:rFonts w:ascii="CG Omega" w:hAnsi="CG Omega" w:cs="Arial"/>
                      <w:b/>
                      <w:color w:val="720000"/>
                    </w:rPr>
                  </w:pPr>
                </w:p>
              </w:tc>
            </w:tr>
          </w:tbl>
          <w:p w:rsidR="009E2A27" w:rsidRPr="00812E82" w:rsidRDefault="009E2A27" w:rsidP="009E7286">
            <w:pPr>
              <w:pStyle w:val="Prrafodelista"/>
              <w:ind w:left="601" w:right="-249"/>
              <w:jc w:val="both"/>
              <w:rPr>
                <w:rFonts w:ascii="CG Omega" w:hAnsi="CG Omega" w:cs="Arial"/>
                <w:b/>
                <w:color w:val="720000"/>
              </w:rPr>
            </w:pPr>
          </w:p>
        </w:tc>
      </w:tr>
    </w:tbl>
    <w:p w:rsidR="00AF3FBE" w:rsidRDefault="007B0A48">
      <w:pPr>
        <w:rPr>
          <w:rFonts w:ascii="Arial" w:hAnsi="Arial" w:cs="Arial"/>
          <w:b/>
          <w:noProof/>
          <w:color w:val="00863D"/>
          <w:lang w:eastAsia="es-MX"/>
        </w:rPr>
        <w:sectPr w:rsidR="00AF3FBE" w:rsidSect="00461F4D">
          <w:footerReference w:type="first" r:id="rId13"/>
          <w:pgSz w:w="12240" w:h="15840"/>
          <w:pgMar w:top="709" w:right="1418" w:bottom="851" w:left="1418" w:header="284" w:footer="283" w:gutter="0"/>
          <w:pgNumType w:start="2"/>
          <w:cols w:space="708"/>
          <w:titlePg/>
          <w:docGrid w:linePitch="326"/>
        </w:sectPr>
      </w:pPr>
      <w:r>
        <w:rPr>
          <w:rFonts w:ascii="Arial" w:hAnsi="Arial" w:cs="Arial"/>
          <w:b/>
          <w:noProof/>
          <w:color w:val="00863D"/>
          <w:lang w:eastAsia="es-MX"/>
        </w:rPr>
        <w:br w:type="page"/>
      </w:r>
    </w:p>
    <w:p w:rsidR="008104EE" w:rsidRPr="00E53B09" w:rsidRDefault="008104EE" w:rsidP="008104EE">
      <w:pPr>
        <w:spacing w:line="360" w:lineRule="auto"/>
        <w:ind w:right="-94"/>
        <w:jc w:val="both"/>
        <w:rPr>
          <w:rFonts w:ascii="Arial" w:hAnsi="Arial" w:cs="Arial"/>
          <w:b/>
          <w:noProof/>
          <w:color w:val="00863D"/>
          <w:lang w:eastAsia="es-MX"/>
        </w:rPr>
      </w:pPr>
      <w:r>
        <w:rPr>
          <w:rFonts w:ascii="Arial" w:hAnsi="Arial" w:cs="Arial"/>
          <w:b/>
          <w:noProof/>
          <w:color w:val="00863D"/>
          <w:lang w:eastAsia="es-MX"/>
        </w:rPr>
        <w:lastRenderedPageBreak/>
        <w:t>PRESENTACIÓN</w:t>
      </w:r>
      <w:r w:rsidRPr="00E53B09">
        <w:rPr>
          <w:rFonts w:ascii="Arial" w:hAnsi="Arial" w:cs="Arial"/>
          <w:b/>
          <w:noProof/>
          <w:color w:val="00863D"/>
          <w:lang w:eastAsia="es-MX"/>
        </w:rPr>
        <w:t>___________________________________________</w:t>
      </w:r>
      <w:r>
        <w:rPr>
          <w:rFonts w:ascii="Arial" w:hAnsi="Arial" w:cs="Arial"/>
          <w:b/>
          <w:noProof/>
          <w:color w:val="00863D"/>
          <w:lang w:eastAsia="es-MX"/>
        </w:rPr>
        <w:t>_____</w:t>
      </w:r>
      <w:r w:rsidRPr="00E53B09">
        <w:rPr>
          <w:rFonts w:ascii="Arial" w:hAnsi="Arial" w:cs="Arial"/>
          <w:b/>
          <w:noProof/>
          <w:color w:val="00863D"/>
          <w:lang w:eastAsia="es-MX"/>
        </w:rPr>
        <w:t>________</w:t>
      </w:r>
    </w:p>
    <w:p w:rsidR="008104EE" w:rsidRDefault="008104EE" w:rsidP="008104EE">
      <w:pPr>
        <w:pStyle w:val="Encabezado"/>
        <w:tabs>
          <w:tab w:val="clear" w:pos="4252"/>
          <w:tab w:val="clear" w:pos="8504"/>
          <w:tab w:val="left" w:pos="9356"/>
        </w:tabs>
        <w:spacing w:line="360" w:lineRule="auto"/>
        <w:ind w:right="48"/>
        <w:jc w:val="both"/>
        <w:rPr>
          <w:rFonts w:ascii="Arial" w:hAnsi="Arial" w:cs="Arial"/>
        </w:rPr>
      </w:pPr>
    </w:p>
    <w:p w:rsidR="008324C0" w:rsidRDefault="00E65329" w:rsidP="008104EE">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 xml:space="preserve">En el </w:t>
      </w:r>
      <w:r w:rsidR="006474AD">
        <w:rPr>
          <w:rFonts w:ascii="Arial" w:hAnsi="Arial" w:cs="Arial"/>
        </w:rPr>
        <w:t xml:space="preserve">presente </w:t>
      </w:r>
      <w:r>
        <w:rPr>
          <w:rFonts w:ascii="Arial" w:hAnsi="Arial" w:cs="Arial"/>
        </w:rPr>
        <w:t xml:space="preserve">documento normativo </w:t>
      </w:r>
      <w:r w:rsidR="006474AD">
        <w:rPr>
          <w:rFonts w:ascii="Arial" w:hAnsi="Arial" w:cs="Arial"/>
        </w:rPr>
        <w:t>s</w:t>
      </w:r>
      <w:r>
        <w:rPr>
          <w:rFonts w:ascii="Arial" w:hAnsi="Arial" w:cs="Arial"/>
        </w:rPr>
        <w:t>e</w:t>
      </w:r>
      <w:r w:rsidR="006474AD">
        <w:rPr>
          <w:rFonts w:ascii="Arial" w:hAnsi="Arial" w:cs="Arial"/>
        </w:rPr>
        <w:t xml:space="preserve"> establecen con </w:t>
      </w:r>
      <w:r w:rsidR="008324C0">
        <w:rPr>
          <w:rFonts w:ascii="Arial" w:hAnsi="Arial" w:cs="Arial"/>
        </w:rPr>
        <w:t xml:space="preserve">claridad </w:t>
      </w:r>
      <w:r w:rsidR="006474AD">
        <w:rPr>
          <w:rFonts w:ascii="Arial" w:hAnsi="Arial" w:cs="Arial"/>
        </w:rPr>
        <w:t xml:space="preserve">y </w:t>
      </w:r>
      <w:r w:rsidR="008324C0">
        <w:rPr>
          <w:rFonts w:ascii="Arial" w:hAnsi="Arial" w:cs="Arial"/>
        </w:rPr>
        <w:t xml:space="preserve">precisión </w:t>
      </w:r>
      <w:r w:rsidR="00C5323D">
        <w:rPr>
          <w:rFonts w:ascii="Arial" w:hAnsi="Arial" w:cs="Arial"/>
        </w:rPr>
        <w:t>los req</w:t>
      </w:r>
      <w:r w:rsidR="001F7865">
        <w:rPr>
          <w:rFonts w:ascii="Arial" w:hAnsi="Arial" w:cs="Arial"/>
        </w:rPr>
        <w:t>uisitos contables y financieros</w:t>
      </w:r>
      <w:r w:rsidR="006474AD">
        <w:rPr>
          <w:rFonts w:ascii="Arial" w:hAnsi="Arial" w:cs="Arial"/>
        </w:rPr>
        <w:t xml:space="preserve"> </w:t>
      </w:r>
      <w:r w:rsidR="00C5323D">
        <w:rPr>
          <w:rFonts w:ascii="Arial" w:hAnsi="Arial" w:cs="Arial"/>
        </w:rPr>
        <w:t>qu</w:t>
      </w:r>
      <w:r w:rsidR="00CF7BC7">
        <w:rPr>
          <w:rFonts w:ascii="Arial" w:hAnsi="Arial" w:cs="Arial"/>
        </w:rPr>
        <w:t>e</w:t>
      </w:r>
      <w:r w:rsidR="00C5323D">
        <w:rPr>
          <w:rFonts w:ascii="Arial" w:hAnsi="Arial" w:cs="Arial"/>
        </w:rPr>
        <w:t xml:space="preserve"> </w:t>
      </w:r>
      <w:r>
        <w:rPr>
          <w:rFonts w:ascii="Arial" w:hAnsi="Arial" w:cs="Arial"/>
        </w:rPr>
        <w:t xml:space="preserve">como mínimo </w:t>
      </w:r>
      <w:r w:rsidR="00C5323D">
        <w:rPr>
          <w:rFonts w:ascii="Arial" w:hAnsi="Arial" w:cs="Arial"/>
        </w:rPr>
        <w:t xml:space="preserve">deberán cumplir </w:t>
      </w:r>
      <w:r w:rsidR="006474AD">
        <w:rPr>
          <w:rFonts w:ascii="Arial" w:hAnsi="Arial" w:cs="Arial"/>
        </w:rPr>
        <w:t xml:space="preserve">los participantes </w:t>
      </w:r>
      <w:r w:rsidR="00BE411F">
        <w:rPr>
          <w:rFonts w:ascii="Arial" w:hAnsi="Arial" w:cs="Arial"/>
        </w:rPr>
        <w:t xml:space="preserve">en los procedimientos de Licitación Pública Nacional e Invitación a cuando menos </w:t>
      </w:r>
      <w:r w:rsidR="004337E4">
        <w:rPr>
          <w:rFonts w:ascii="Arial" w:hAnsi="Arial" w:cs="Arial"/>
        </w:rPr>
        <w:t>T</w:t>
      </w:r>
      <w:r w:rsidR="00BE411F">
        <w:rPr>
          <w:rFonts w:ascii="Arial" w:hAnsi="Arial" w:cs="Arial"/>
        </w:rPr>
        <w:t xml:space="preserve">res </w:t>
      </w:r>
      <w:r w:rsidR="004337E4">
        <w:rPr>
          <w:rFonts w:ascii="Arial" w:hAnsi="Arial" w:cs="Arial"/>
        </w:rPr>
        <w:t>P</w:t>
      </w:r>
      <w:r w:rsidR="00BE411F">
        <w:rPr>
          <w:rFonts w:ascii="Arial" w:hAnsi="Arial" w:cs="Arial"/>
        </w:rPr>
        <w:t xml:space="preserve">roveedores y </w:t>
      </w:r>
      <w:r w:rsidR="004337E4">
        <w:rPr>
          <w:rFonts w:ascii="Arial" w:hAnsi="Arial" w:cs="Arial"/>
        </w:rPr>
        <w:t>C</w:t>
      </w:r>
      <w:r w:rsidR="00BE411F">
        <w:rPr>
          <w:rFonts w:ascii="Arial" w:hAnsi="Arial" w:cs="Arial"/>
        </w:rPr>
        <w:t xml:space="preserve">ontratistas, </w:t>
      </w:r>
      <w:r w:rsidR="008324C0">
        <w:rPr>
          <w:rFonts w:ascii="Arial" w:hAnsi="Arial" w:cs="Arial"/>
        </w:rPr>
        <w:t xml:space="preserve">mismos que estarán insertos en las </w:t>
      </w:r>
      <w:r w:rsidR="004337E4">
        <w:rPr>
          <w:rFonts w:ascii="Arial" w:hAnsi="Arial" w:cs="Arial"/>
        </w:rPr>
        <w:t>B</w:t>
      </w:r>
      <w:r w:rsidR="008324C0">
        <w:rPr>
          <w:rFonts w:ascii="Arial" w:hAnsi="Arial" w:cs="Arial"/>
        </w:rPr>
        <w:t>ases</w:t>
      </w:r>
      <w:r w:rsidR="004337E4">
        <w:rPr>
          <w:rFonts w:ascii="Arial" w:hAnsi="Arial" w:cs="Arial"/>
        </w:rPr>
        <w:t xml:space="preserve"> de la Licitación</w:t>
      </w:r>
      <w:r w:rsidR="008324C0">
        <w:rPr>
          <w:rFonts w:ascii="Arial" w:hAnsi="Arial" w:cs="Arial"/>
        </w:rPr>
        <w:t xml:space="preserve"> o </w:t>
      </w:r>
      <w:r w:rsidR="004337E4">
        <w:rPr>
          <w:rFonts w:ascii="Arial" w:hAnsi="Arial" w:cs="Arial"/>
        </w:rPr>
        <w:t>I</w:t>
      </w:r>
      <w:r w:rsidR="008324C0">
        <w:rPr>
          <w:rFonts w:ascii="Arial" w:hAnsi="Arial" w:cs="Arial"/>
        </w:rPr>
        <w:t>nvitación</w:t>
      </w:r>
      <w:r w:rsidR="004337E4">
        <w:rPr>
          <w:rFonts w:ascii="Arial" w:hAnsi="Arial" w:cs="Arial"/>
        </w:rPr>
        <w:t xml:space="preserve">, según </w:t>
      </w:r>
      <w:r w:rsidR="008324C0">
        <w:rPr>
          <w:rFonts w:ascii="Arial" w:hAnsi="Arial" w:cs="Arial"/>
        </w:rPr>
        <w:t>correspond</w:t>
      </w:r>
      <w:r w:rsidR="004337E4">
        <w:rPr>
          <w:rFonts w:ascii="Arial" w:hAnsi="Arial" w:cs="Arial"/>
        </w:rPr>
        <w:t>a</w:t>
      </w:r>
      <w:r w:rsidR="008324C0">
        <w:rPr>
          <w:rFonts w:ascii="Arial" w:hAnsi="Arial" w:cs="Arial"/>
        </w:rPr>
        <w:t>.</w:t>
      </w:r>
    </w:p>
    <w:p w:rsidR="008324C0" w:rsidRDefault="008324C0" w:rsidP="008104EE">
      <w:pPr>
        <w:pStyle w:val="Encabezado"/>
        <w:tabs>
          <w:tab w:val="clear" w:pos="4252"/>
          <w:tab w:val="clear" w:pos="8504"/>
          <w:tab w:val="left" w:pos="9356"/>
        </w:tabs>
        <w:spacing w:line="360" w:lineRule="auto"/>
        <w:ind w:right="48"/>
        <w:jc w:val="both"/>
        <w:rPr>
          <w:rFonts w:ascii="Arial" w:hAnsi="Arial" w:cs="Arial"/>
        </w:rPr>
      </w:pPr>
    </w:p>
    <w:p w:rsidR="004337E4" w:rsidRDefault="008324C0" w:rsidP="008104EE">
      <w:pPr>
        <w:pStyle w:val="Encabezado"/>
        <w:tabs>
          <w:tab w:val="clear" w:pos="4252"/>
          <w:tab w:val="clear" w:pos="8504"/>
          <w:tab w:val="left" w:pos="9356"/>
        </w:tabs>
        <w:spacing w:line="360" w:lineRule="auto"/>
        <w:ind w:right="48"/>
        <w:jc w:val="both"/>
        <w:rPr>
          <w:rFonts w:ascii="Arial" w:hAnsi="Arial" w:cs="Arial"/>
        </w:rPr>
      </w:pPr>
      <w:r w:rsidRPr="0078239F">
        <w:rPr>
          <w:rFonts w:ascii="Arial" w:hAnsi="Arial" w:cs="Arial"/>
        </w:rPr>
        <w:t>L</w:t>
      </w:r>
      <w:r w:rsidR="007243CE" w:rsidRPr="0078239F">
        <w:rPr>
          <w:rFonts w:ascii="Arial" w:hAnsi="Arial" w:cs="Arial"/>
        </w:rPr>
        <w:t xml:space="preserve">o </w:t>
      </w:r>
      <w:r w:rsidRPr="0078239F">
        <w:rPr>
          <w:rFonts w:ascii="Arial" w:hAnsi="Arial" w:cs="Arial"/>
        </w:rPr>
        <w:t>anterior</w:t>
      </w:r>
      <w:r>
        <w:rPr>
          <w:rFonts w:ascii="Arial" w:hAnsi="Arial" w:cs="Arial"/>
        </w:rPr>
        <w:t xml:space="preserve">, </w:t>
      </w:r>
      <w:r w:rsidR="00AC6019">
        <w:rPr>
          <w:rFonts w:ascii="Arial" w:hAnsi="Arial" w:cs="Arial"/>
        </w:rPr>
        <w:t xml:space="preserve">con el fin de </w:t>
      </w:r>
      <w:r>
        <w:rPr>
          <w:rFonts w:ascii="Arial" w:hAnsi="Arial" w:cs="Arial"/>
        </w:rPr>
        <w:t xml:space="preserve">delimitar </w:t>
      </w:r>
      <w:r w:rsidR="00516A7B">
        <w:rPr>
          <w:rFonts w:ascii="Arial" w:hAnsi="Arial" w:cs="Arial"/>
        </w:rPr>
        <w:t xml:space="preserve">y definir claramente </w:t>
      </w:r>
      <w:r>
        <w:rPr>
          <w:rFonts w:ascii="Arial" w:hAnsi="Arial" w:cs="Arial"/>
        </w:rPr>
        <w:t>los requisitos contables y financie</w:t>
      </w:r>
      <w:r w:rsidR="00516A7B">
        <w:rPr>
          <w:rFonts w:ascii="Arial" w:hAnsi="Arial" w:cs="Arial"/>
        </w:rPr>
        <w:t xml:space="preserve">ros a que hace referencia la fracción II del artículo 63 de Acuerdo General, con lo cual se </w:t>
      </w:r>
      <w:r w:rsidR="002F5A9B">
        <w:rPr>
          <w:rFonts w:ascii="Arial" w:hAnsi="Arial" w:cs="Arial"/>
        </w:rPr>
        <w:t xml:space="preserve">busca </w:t>
      </w:r>
      <w:r w:rsidR="00516A7B">
        <w:rPr>
          <w:rFonts w:ascii="Arial" w:hAnsi="Arial" w:cs="Arial"/>
        </w:rPr>
        <w:t xml:space="preserve">dar </w:t>
      </w:r>
      <w:r w:rsidR="002F5A9B">
        <w:rPr>
          <w:rFonts w:ascii="Arial" w:hAnsi="Arial" w:cs="Arial"/>
        </w:rPr>
        <w:t xml:space="preserve">mayor </w:t>
      </w:r>
      <w:r w:rsidR="00516A7B">
        <w:rPr>
          <w:rFonts w:ascii="Arial" w:hAnsi="Arial" w:cs="Arial"/>
        </w:rPr>
        <w:t>certeza</w:t>
      </w:r>
      <w:r w:rsidR="000D6929">
        <w:rPr>
          <w:rFonts w:ascii="Arial" w:hAnsi="Arial" w:cs="Arial"/>
        </w:rPr>
        <w:t xml:space="preserve"> a</w:t>
      </w:r>
      <w:r w:rsidR="00516A7B">
        <w:rPr>
          <w:rFonts w:ascii="Arial" w:hAnsi="Arial" w:cs="Arial"/>
        </w:rPr>
        <w:t xml:space="preserve"> todos los interesados en participar</w:t>
      </w:r>
      <w:r>
        <w:rPr>
          <w:rFonts w:ascii="Arial" w:hAnsi="Arial" w:cs="Arial"/>
        </w:rPr>
        <w:t xml:space="preserve"> </w:t>
      </w:r>
      <w:r w:rsidR="00516A7B">
        <w:rPr>
          <w:rFonts w:ascii="Arial" w:hAnsi="Arial" w:cs="Arial"/>
        </w:rPr>
        <w:t xml:space="preserve">en cualquiera de los procedimientos de contratación antes referidos, </w:t>
      </w:r>
      <w:r w:rsidR="000D6929">
        <w:rPr>
          <w:rFonts w:ascii="Arial" w:hAnsi="Arial" w:cs="Arial"/>
        </w:rPr>
        <w:t>respecto de los requisitos que deberán cubrir</w:t>
      </w:r>
      <w:r w:rsidR="00AC6019">
        <w:rPr>
          <w:rFonts w:ascii="Arial" w:hAnsi="Arial" w:cs="Arial"/>
        </w:rPr>
        <w:t xml:space="preserve"> para acreditar a satisfacción su solvencia financiera</w:t>
      </w:r>
      <w:r w:rsidR="000D6929">
        <w:rPr>
          <w:rFonts w:ascii="Arial" w:hAnsi="Arial" w:cs="Arial"/>
        </w:rPr>
        <w:t xml:space="preserve">, </w:t>
      </w:r>
      <w:r w:rsidR="00042AD5">
        <w:rPr>
          <w:rFonts w:ascii="Arial" w:hAnsi="Arial" w:cs="Arial"/>
        </w:rPr>
        <w:t>asimismo</w:t>
      </w:r>
      <w:r w:rsidR="000938FC">
        <w:rPr>
          <w:rFonts w:ascii="Arial" w:hAnsi="Arial" w:cs="Arial"/>
        </w:rPr>
        <w:t>,</w:t>
      </w:r>
      <w:r w:rsidR="00EF3DC3">
        <w:rPr>
          <w:rFonts w:ascii="Arial" w:hAnsi="Arial" w:cs="Arial"/>
        </w:rPr>
        <w:t xml:space="preserve"> para </w:t>
      </w:r>
      <w:r w:rsidR="00516A7B">
        <w:rPr>
          <w:rFonts w:ascii="Arial" w:hAnsi="Arial" w:cs="Arial"/>
        </w:rPr>
        <w:t xml:space="preserve">proporcionar a </w:t>
      </w:r>
      <w:r w:rsidR="00E65329">
        <w:rPr>
          <w:rFonts w:ascii="Arial" w:hAnsi="Arial" w:cs="Arial"/>
        </w:rPr>
        <w:t>la Coordinación Financiera</w:t>
      </w:r>
      <w:r w:rsidR="00C27424">
        <w:rPr>
          <w:rFonts w:ascii="Arial" w:hAnsi="Arial" w:cs="Arial"/>
        </w:rPr>
        <w:t xml:space="preserve"> </w:t>
      </w:r>
      <w:r w:rsidR="002F5A9B">
        <w:rPr>
          <w:rFonts w:ascii="Arial" w:hAnsi="Arial" w:cs="Arial"/>
        </w:rPr>
        <w:t xml:space="preserve">los </w:t>
      </w:r>
      <w:r w:rsidR="00E65329">
        <w:rPr>
          <w:rFonts w:ascii="Arial" w:hAnsi="Arial" w:cs="Arial"/>
        </w:rPr>
        <w:t xml:space="preserve">elementos </w:t>
      </w:r>
      <w:r w:rsidR="00C27424">
        <w:rPr>
          <w:rFonts w:ascii="Arial" w:hAnsi="Arial" w:cs="Arial"/>
        </w:rPr>
        <w:t xml:space="preserve">técnicos </w:t>
      </w:r>
      <w:r w:rsidR="00E65329">
        <w:rPr>
          <w:rFonts w:ascii="Arial" w:hAnsi="Arial" w:cs="Arial"/>
        </w:rPr>
        <w:t>básicos</w:t>
      </w:r>
      <w:r w:rsidR="00C27424">
        <w:rPr>
          <w:rFonts w:ascii="Arial" w:hAnsi="Arial" w:cs="Arial"/>
        </w:rPr>
        <w:t xml:space="preserve"> </w:t>
      </w:r>
      <w:r w:rsidR="00E24394">
        <w:rPr>
          <w:rFonts w:ascii="Arial" w:hAnsi="Arial" w:cs="Arial"/>
        </w:rPr>
        <w:t xml:space="preserve">necesarios </w:t>
      </w:r>
      <w:r w:rsidR="003750C3">
        <w:rPr>
          <w:rFonts w:ascii="Arial" w:hAnsi="Arial" w:cs="Arial"/>
        </w:rPr>
        <w:t xml:space="preserve">para </w:t>
      </w:r>
      <w:r w:rsidR="00BE411F">
        <w:rPr>
          <w:rFonts w:ascii="Arial" w:hAnsi="Arial" w:cs="Arial"/>
        </w:rPr>
        <w:t xml:space="preserve">la evaluación financiera a que se refiere el </w:t>
      </w:r>
      <w:r w:rsidR="00516A7B">
        <w:rPr>
          <w:rFonts w:ascii="Arial" w:hAnsi="Arial" w:cs="Arial"/>
        </w:rPr>
        <w:t xml:space="preserve">citado </w:t>
      </w:r>
      <w:r w:rsidR="00BE411F">
        <w:rPr>
          <w:rFonts w:ascii="Arial" w:hAnsi="Arial" w:cs="Arial"/>
        </w:rPr>
        <w:t>artículo</w:t>
      </w:r>
      <w:r w:rsidR="004337E4">
        <w:rPr>
          <w:rFonts w:ascii="Arial" w:hAnsi="Arial" w:cs="Arial"/>
        </w:rPr>
        <w:t>.</w:t>
      </w:r>
    </w:p>
    <w:p w:rsidR="004337E4" w:rsidRDefault="004337E4" w:rsidP="008104EE">
      <w:pPr>
        <w:pStyle w:val="Encabezado"/>
        <w:tabs>
          <w:tab w:val="clear" w:pos="4252"/>
          <w:tab w:val="clear" w:pos="8504"/>
          <w:tab w:val="left" w:pos="9356"/>
        </w:tabs>
        <w:spacing w:line="360" w:lineRule="auto"/>
        <w:ind w:right="48"/>
        <w:jc w:val="both"/>
        <w:rPr>
          <w:rFonts w:ascii="Arial" w:hAnsi="Arial" w:cs="Arial"/>
        </w:rPr>
      </w:pPr>
    </w:p>
    <w:p w:rsidR="00BE411F" w:rsidRDefault="0078239F" w:rsidP="008104EE">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Asimismo</w:t>
      </w:r>
      <w:r w:rsidR="004337E4">
        <w:rPr>
          <w:rFonts w:ascii="Arial" w:hAnsi="Arial" w:cs="Arial"/>
        </w:rPr>
        <w:t>, en términos de lo dispuesto en el artículo 134 Constitucional</w:t>
      </w:r>
      <w:r w:rsidR="00C37E08">
        <w:rPr>
          <w:rFonts w:ascii="Arial" w:hAnsi="Arial" w:cs="Arial"/>
        </w:rPr>
        <w:t>,</w:t>
      </w:r>
      <w:r w:rsidR="004337E4">
        <w:rPr>
          <w:rFonts w:ascii="Arial" w:hAnsi="Arial" w:cs="Arial"/>
        </w:rPr>
        <w:t xml:space="preserve"> a fin de </w:t>
      </w:r>
      <w:r w:rsidR="004337E4" w:rsidRPr="004337E4">
        <w:rPr>
          <w:rFonts w:ascii="Arial" w:hAnsi="Arial" w:cs="Arial"/>
        </w:rPr>
        <w:t>administrar con eficiencia, eficacia, economía, transparencia y honradez</w:t>
      </w:r>
      <w:r w:rsidR="00CF7BC7">
        <w:rPr>
          <w:rFonts w:ascii="Arial" w:hAnsi="Arial" w:cs="Arial"/>
        </w:rPr>
        <w:t xml:space="preserve"> los recursos financieros</w:t>
      </w:r>
      <w:r w:rsidR="004337E4" w:rsidRPr="004337E4">
        <w:rPr>
          <w:rFonts w:ascii="Arial" w:hAnsi="Arial" w:cs="Arial"/>
        </w:rPr>
        <w:t xml:space="preserve"> para satisfacer los objetivos a los que estén destinados</w:t>
      </w:r>
      <w:r w:rsidR="00516A7B">
        <w:rPr>
          <w:rFonts w:ascii="Arial" w:hAnsi="Arial" w:cs="Arial"/>
        </w:rPr>
        <w:t>.</w:t>
      </w:r>
    </w:p>
    <w:p w:rsidR="00C37E08" w:rsidRDefault="00C37E08" w:rsidP="008104EE">
      <w:pPr>
        <w:pStyle w:val="Encabezado"/>
        <w:tabs>
          <w:tab w:val="clear" w:pos="4252"/>
          <w:tab w:val="clear" w:pos="8504"/>
          <w:tab w:val="left" w:pos="9356"/>
        </w:tabs>
        <w:spacing w:line="360" w:lineRule="auto"/>
        <w:ind w:right="48"/>
        <w:jc w:val="both"/>
        <w:rPr>
          <w:rFonts w:ascii="Arial" w:hAnsi="Arial" w:cs="Arial"/>
        </w:rPr>
      </w:pPr>
    </w:p>
    <w:p w:rsidR="00C37E08" w:rsidRPr="00C37E08" w:rsidRDefault="00C37E08" w:rsidP="00C37E08">
      <w:pPr>
        <w:pStyle w:val="Encabezado"/>
        <w:tabs>
          <w:tab w:val="clear" w:pos="4252"/>
          <w:tab w:val="clear" w:pos="8504"/>
          <w:tab w:val="left" w:pos="9356"/>
        </w:tabs>
        <w:spacing w:line="360" w:lineRule="auto"/>
        <w:ind w:right="48"/>
        <w:jc w:val="both"/>
        <w:rPr>
          <w:rFonts w:ascii="Arial" w:hAnsi="Arial" w:cs="Arial"/>
          <w:sz w:val="16"/>
        </w:rPr>
      </w:pPr>
      <w:r>
        <w:rPr>
          <w:rFonts w:ascii="Arial" w:hAnsi="Arial" w:cs="Arial"/>
        </w:rPr>
        <w:t>Toda vez que el precepto legal antes señalado, indica que: “</w:t>
      </w:r>
      <w:r w:rsidRPr="00C37E08">
        <w:rPr>
          <w:rFonts w:ascii="Arial" w:hAnsi="Arial" w:cs="Arial"/>
          <w:i/>
        </w:rPr>
        <w:t xml:space="preserve">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w:t>
      </w:r>
      <w:r w:rsidRPr="00C37E08">
        <w:rPr>
          <w:rFonts w:ascii="Arial" w:hAnsi="Arial" w:cs="Arial"/>
          <w:b/>
          <w:i/>
          <w:u w:val="single"/>
        </w:rPr>
        <w:t>asegurar al Estado las mejores condiciones disponibles en cuanto a precio, calidad, financiamiento, oportunidad y demás circunstancias pertinentes</w:t>
      </w:r>
      <w:r w:rsidRPr="00C37E08">
        <w:rPr>
          <w:rFonts w:ascii="Arial" w:hAnsi="Arial" w:cs="Arial"/>
          <w:i/>
        </w:rPr>
        <w:t>.</w:t>
      </w:r>
      <w:r>
        <w:rPr>
          <w:rFonts w:ascii="Arial" w:hAnsi="Arial" w:cs="Arial"/>
          <w:i/>
        </w:rPr>
        <w:t xml:space="preserve"> </w:t>
      </w:r>
      <w:r w:rsidRPr="00C37E08">
        <w:rPr>
          <w:rFonts w:ascii="Arial" w:hAnsi="Arial" w:cs="Arial"/>
          <w:b/>
          <w:i/>
          <w:sz w:val="16"/>
        </w:rPr>
        <w:t>(Énfasis añadido)</w:t>
      </w:r>
    </w:p>
    <w:p w:rsidR="00C37E08" w:rsidRPr="00C37E08" w:rsidRDefault="00C37E08" w:rsidP="00C37E08">
      <w:pPr>
        <w:pStyle w:val="Encabezado"/>
        <w:tabs>
          <w:tab w:val="clear" w:pos="4252"/>
          <w:tab w:val="clear" w:pos="8504"/>
          <w:tab w:val="left" w:pos="9356"/>
        </w:tabs>
        <w:spacing w:line="360" w:lineRule="auto"/>
        <w:ind w:right="48"/>
        <w:jc w:val="both"/>
        <w:rPr>
          <w:rFonts w:ascii="Arial" w:hAnsi="Arial" w:cs="Arial"/>
        </w:rPr>
      </w:pPr>
    </w:p>
    <w:p w:rsidR="00C5323D" w:rsidRDefault="00CF7BC7" w:rsidP="008104EE">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lastRenderedPageBreak/>
        <w:t>Así</w:t>
      </w:r>
      <w:r w:rsidR="006407F2" w:rsidRPr="0078239F">
        <w:rPr>
          <w:rFonts w:ascii="Arial" w:hAnsi="Arial" w:cs="Arial"/>
        </w:rPr>
        <w:t>,</w:t>
      </w:r>
      <w:r w:rsidR="006407F2">
        <w:rPr>
          <w:rFonts w:ascii="Arial" w:hAnsi="Arial" w:cs="Arial"/>
        </w:rPr>
        <w:t xml:space="preserve"> </w:t>
      </w:r>
      <w:r w:rsidR="00C27424">
        <w:rPr>
          <w:rFonts w:ascii="Arial" w:hAnsi="Arial" w:cs="Arial"/>
        </w:rPr>
        <w:t xml:space="preserve">los presentes lineamientos </w:t>
      </w:r>
      <w:r w:rsidR="006407F2">
        <w:rPr>
          <w:rFonts w:ascii="Arial" w:hAnsi="Arial" w:cs="Arial"/>
        </w:rPr>
        <w:t>contiene</w:t>
      </w:r>
      <w:r w:rsidR="00C56D7A">
        <w:rPr>
          <w:rFonts w:ascii="Arial" w:hAnsi="Arial" w:cs="Arial"/>
        </w:rPr>
        <w:t>n</w:t>
      </w:r>
      <w:r w:rsidR="006407F2">
        <w:rPr>
          <w:rFonts w:ascii="Arial" w:hAnsi="Arial" w:cs="Arial"/>
        </w:rPr>
        <w:t xml:space="preserve"> </w:t>
      </w:r>
      <w:r w:rsidR="00BE411F">
        <w:rPr>
          <w:rFonts w:ascii="Arial" w:hAnsi="Arial" w:cs="Arial"/>
        </w:rPr>
        <w:t xml:space="preserve">las directrices técnicas en materia de análisis de estados financieros, </w:t>
      </w:r>
      <w:r w:rsidR="00C5323D">
        <w:rPr>
          <w:rFonts w:ascii="Arial" w:hAnsi="Arial" w:cs="Arial"/>
        </w:rPr>
        <w:t>sobre las cuales los servidores públicos responsables de la elaboración y emisión del dictamen resolutivo financiero realizarán su análisis</w:t>
      </w:r>
      <w:r w:rsidR="00C56D7A">
        <w:rPr>
          <w:rFonts w:ascii="Arial" w:hAnsi="Arial" w:cs="Arial"/>
        </w:rPr>
        <w:t xml:space="preserve"> técnico y sustentarán su opinión </w:t>
      </w:r>
      <w:r w:rsidR="00C5323D">
        <w:rPr>
          <w:rFonts w:ascii="Arial" w:hAnsi="Arial" w:cs="Arial"/>
        </w:rPr>
        <w:t>respecto a</w:t>
      </w:r>
      <w:r w:rsidR="00C56D7A">
        <w:rPr>
          <w:rFonts w:ascii="Arial" w:hAnsi="Arial" w:cs="Arial"/>
        </w:rPr>
        <w:t xml:space="preserve"> l</w:t>
      </w:r>
      <w:r w:rsidR="006161ED">
        <w:rPr>
          <w:rFonts w:ascii="Arial" w:hAnsi="Arial" w:cs="Arial"/>
        </w:rPr>
        <w:t>os resultados obtenidos por</w:t>
      </w:r>
      <w:r w:rsidR="00C56D7A">
        <w:rPr>
          <w:rFonts w:ascii="Arial" w:hAnsi="Arial" w:cs="Arial"/>
        </w:rPr>
        <w:t xml:space="preserve"> cada uno de</w:t>
      </w:r>
      <w:r w:rsidR="00C5323D">
        <w:rPr>
          <w:rFonts w:ascii="Arial" w:hAnsi="Arial" w:cs="Arial"/>
        </w:rPr>
        <w:t xml:space="preserve"> los proveedores, prestadores de servicios o contratistas que participan en los procedimientos referidos</w:t>
      </w:r>
      <w:r w:rsidR="00C56D7A">
        <w:rPr>
          <w:rFonts w:ascii="Arial" w:hAnsi="Arial" w:cs="Arial"/>
        </w:rPr>
        <w:t>, conforme al análisis de la documentación que hubiesen presentado</w:t>
      </w:r>
      <w:r w:rsidR="00C5323D">
        <w:rPr>
          <w:rFonts w:ascii="Arial" w:hAnsi="Arial" w:cs="Arial"/>
        </w:rPr>
        <w:t>.</w:t>
      </w:r>
    </w:p>
    <w:p w:rsidR="001F7865" w:rsidRDefault="001F7865" w:rsidP="008104EE">
      <w:pPr>
        <w:pStyle w:val="Encabezado"/>
        <w:tabs>
          <w:tab w:val="clear" w:pos="4252"/>
          <w:tab w:val="clear" w:pos="8504"/>
          <w:tab w:val="left" w:pos="9356"/>
        </w:tabs>
        <w:spacing w:line="360" w:lineRule="auto"/>
        <w:ind w:right="48"/>
        <w:jc w:val="both"/>
        <w:rPr>
          <w:rFonts w:ascii="Arial" w:hAnsi="Arial" w:cs="Arial"/>
        </w:rPr>
      </w:pPr>
    </w:p>
    <w:p w:rsidR="006161ED" w:rsidRDefault="009C2F19" w:rsidP="000938FC">
      <w:pPr>
        <w:pStyle w:val="Encabezado"/>
        <w:tabs>
          <w:tab w:val="clear" w:pos="4252"/>
          <w:tab w:val="clear" w:pos="8504"/>
          <w:tab w:val="left" w:pos="9356"/>
        </w:tabs>
        <w:spacing w:after="120" w:line="360" w:lineRule="auto"/>
        <w:ind w:right="45"/>
        <w:jc w:val="both"/>
        <w:rPr>
          <w:rFonts w:ascii="Arial" w:hAnsi="Arial" w:cs="Arial"/>
        </w:rPr>
      </w:pPr>
      <w:r>
        <w:rPr>
          <w:rFonts w:ascii="Arial" w:hAnsi="Arial" w:cs="Arial"/>
        </w:rPr>
        <w:t>Adicionalmente</w:t>
      </w:r>
      <w:r w:rsidRPr="0078239F">
        <w:rPr>
          <w:rFonts w:ascii="Arial" w:hAnsi="Arial" w:cs="Arial"/>
        </w:rPr>
        <w:t xml:space="preserve">, </w:t>
      </w:r>
      <w:r w:rsidR="00712EE9" w:rsidRPr="0078239F">
        <w:rPr>
          <w:rFonts w:ascii="Arial" w:hAnsi="Arial" w:cs="Arial"/>
        </w:rPr>
        <w:t>sabedores</w:t>
      </w:r>
      <w:r w:rsidR="00EF3DC3">
        <w:rPr>
          <w:rFonts w:ascii="Arial" w:hAnsi="Arial" w:cs="Arial"/>
        </w:rPr>
        <w:t xml:space="preserve"> </w:t>
      </w:r>
      <w:r>
        <w:rPr>
          <w:rFonts w:ascii="Arial" w:hAnsi="Arial" w:cs="Arial"/>
        </w:rPr>
        <w:t xml:space="preserve">de </w:t>
      </w:r>
      <w:r w:rsidR="00EF3DC3">
        <w:rPr>
          <w:rFonts w:ascii="Arial" w:hAnsi="Arial" w:cs="Arial"/>
        </w:rPr>
        <w:t>qu</w:t>
      </w:r>
      <w:r>
        <w:rPr>
          <w:rFonts w:ascii="Arial" w:hAnsi="Arial" w:cs="Arial"/>
        </w:rPr>
        <w:t>e</w:t>
      </w:r>
      <w:r w:rsidR="00EF3DC3">
        <w:rPr>
          <w:rFonts w:ascii="Arial" w:hAnsi="Arial" w:cs="Arial"/>
        </w:rPr>
        <w:t xml:space="preserve"> no es conveniente dar el mismo tratamiento a todos los </w:t>
      </w:r>
      <w:r w:rsidR="00CF7BC7">
        <w:rPr>
          <w:rFonts w:ascii="Arial" w:hAnsi="Arial" w:cs="Arial"/>
        </w:rPr>
        <w:t xml:space="preserve">tipos de </w:t>
      </w:r>
      <w:r w:rsidR="00EF3DC3">
        <w:rPr>
          <w:rFonts w:ascii="Arial" w:hAnsi="Arial" w:cs="Arial"/>
        </w:rPr>
        <w:t xml:space="preserve">participantes en los procedimientos de </w:t>
      </w:r>
      <w:r w:rsidR="00F11C37">
        <w:rPr>
          <w:rFonts w:ascii="Arial" w:hAnsi="Arial" w:cs="Arial"/>
        </w:rPr>
        <w:t xml:space="preserve">adquisición de </w:t>
      </w:r>
      <w:r w:rsidR="00CF7BC7">
        <w:rPr>
          <w:rFonts w:ascii="Arial" w:hAnsi="Arial" w:cs="Arial"/>
        </w:rPr>
        <w:t>b</w:t>
      </w:r>
      <w:r w:rsidR="00F11C37">
        <w:rPr>
          <w:rFonts w:ascii="Arial" w:hAnsi="Arial" w:cs="Arial"/>
        </w:rPr>
        <w:t xml:space="preserve">ienes, </w:t>
      </w:r>
      <w:r w:rsidR="00CF7BC7">
        <w:rPr>
          <w:rFonts w:ascii="Arial" w:hAnsi="Arial" w:cs="Arial"/>
        </w:rPr>
        <w:t>s</w:t>
      </w:r>
      <w:r w:rsidR="00F11C37">
        <w:rPr>
          <w:rFonts w:ascii="Arial" w:hAnsi="Arial" w:cs="Arial"/>
        </w:rPr>
        <w:t xml:space="preserve">ervicios </w:t>
      </w:r>
      <w:r w:rsidR="00CF7BC7">
        <w:rPr>
          <w:rFonts w:ascii="Arial" w:hAnsi="Arial" w:cs="Arial"/>
        </w:rPr>
        <w:t>o</w:t>
      </w:r>
      <w:r w:rsidR="00F11C37">
        <w:rPr>
          <w:rFonts w:ascii="Arial" w:hAnsi="Arial" w:cs="Arial"/>
        </w:rPr>
        <w:t xml:space="preserve">bra </w:t>
      </w:r>
      <w:r w:rsidR="00CF7BC7">
        <w:rPr>
          <w:rFonts w:ascii="Arial" w:hAnsi="Arial" w:cs="Arial"/>
        </w:rPr>
        <w:t>p</w:t>
      </w:r>
      <w:r w:rsidR="00F11C37">
        <w:rPr>
          <w:rFonts w:ascii="Arial" w:hAnsi="Arial" w:cs="Arial"/>
        </w:rPr>
        <w:t xml:space="preserve">ública y </w:t>
      </w:r>
      <w:r w:rsidR="00CF7BC7">
        <w:rPr>
          <w:rFonts w:ascii="Arial" w:hAnsi="Arial" w:cs="Arial"/>
        </w:rPr>
        <w:t>s</w:t>
      </w:r>
      <w:r w:rsidR="00F11C37">
        <w:rPr>
          <w:rFonts w:ascii="Arial" w:hAnsi="Arial" w:cs="Arial"/>
        </w:rPr>
        <w:t xml:space="preserve">ervicios </w:t>
      </w:r>
      <w:r w:rsidR="00CF7BC7">
        <w:rPr>
          <w:rFonts w:ascii="Arial" w:hAnsi="Arial" w:cs="Arial"/>
        </w:rPr>
        <w:t>relacionadas con la m</w:t>
      </w:r>
      <w:r w:rsidR="00F11C37">
        <w:rPr>
          <w:rFonts w:ascii="Arial" w:hAnsi="Arial" w:cs="Arial"/>
        </w:rPr>
        <w:t>isma</w:t>
      </w:r>
      <w:r w:rsidR="00EF3DC3">
        <w:rPr>
          <w:rFonts w:ascii="Arial" w:hAnsi="Arial" w:cs="Arial"/>
        </w:rPr>
        <w:t>, u</w:t>
      </w:r>
      <w:r w:rsidR="00F94E04">
        <w:rPr>
          <w:rFonts w:ascii="Arial" w:hAnsi="Arial" w:cs="Arial"/>
        </w:rPr>
        <w:t xml:space="preserve">na de las características principales que contienen los </w:t>
      </w:r>
      <w:r w:rsidR="00F94E04" w:rsidRPr="006161ED">
        <w:rPr>
          <w:rFonts w:ascii="Arial" w:hAnsi="Arial" w:cs="Arial"/>
          <w:i/>
        </w:rPr>
        <w:t>“Lineamientos para la elaboración y emisión del dictamen resolutivo financiero”</w:t>
      </w:r>
      <w:r w:rsidR="00F94E04">
        <w:rPr>
          <w:rFonts w:ascii="Arial" w:hAnsi="Arial" w:cs="Arial"/>
        </w:rPr>
        <w:t>, es que</w:t>
      </w:r>
      <w:r w:rsidR="00D573D2">
        <w:rPr>
          <w:rFonts w:ascii="Arial" w:hAnsi="Arial" w:cs="Arial"/>
        </w:rPr>
        <w:t xml:space="preserve">, </w:t>
      </w:r>
      <w:r w:rsidR="00F94E04">
        <w:rPr>
          <w:rFonts w:ascii="Arial" w:hAnsi="Arial" w:cs="Arial"/>
        </w:rPr>
        <w:t xml:space="preserve">para efectos de la evaluación financiera, se establecen cuatro grandes grupos homogéneos, </w:t>
      </w:r>
      <w:r w:rsidR="00D573D2">
        <w:rPr>
          <w:rFonts w:ascii="Arial" w:hAnsi="Arial" w:cs="Arial"/>
        </w:rPr>
        <w:t xml:space="preserve">en función </w:t>
      </w:r>
      <w:r w:rsidR="00F94E04">
        <w:rPr>
          <w:rFonts w:ascii="Arial" w:hAnsi="Arial" w:cs="Arial"/>
        </w:rPr>
        <w:t>al tipo de contratación, siendo los siguientes:</w:t>
      </w:r>
    </w:p>
    <w:p w:rsidR="001F7865" w:rsidRDefault="00D573D2" w:rsidP="003A5FB6">
      <w:pPr>
        <w:pStyle w:val="Encabezado"/>
        <w:numPr>
          <w:ilvl w:val="0"/>
          <w:numId w:val="12"/>
        </w:numPr>
        <w:tabs>
          <w:tab w:val="clear" w:pos="4252"/>
          <w:tab w:val="clear" w:pos="8504"/>
          <w:tab w:val="left" w:pos="9356"/>
        </w:tabs>
        <w:spacing w:line="360" w:lineRule="auto"/>
        <w:ind w:right="48"/>
        <w:jc w:val="both"/>
        <w:rPr>
          <w:rFonts w:ascii="Arial" w:hAnsi="Arial" w:cs="Arial"/>
        </w:rPr>
      </w:pPr>
      <w:r>
        <w:rPr>
          <w:rFonts w:ascii="Arial" w:hAnsi="Arial" w:cs="Arial"/>
        </w:rPr>
        <w:t>Obra pública y servicios relacionados con la misma;</w:t>
      </w:r>
    </w:p>
    <w:p w:rsidR="00D573D2" w:rsidRDefault="00D573D2" w:rsidP="003A5FB6">
      <w:pPr>
        <w:pStyle w:val="Encabezado"/>
        <w:numPr>
          <w:ilvl w:val="0"/>
          <w:numId w:val="12"/>
        </w:numPr>
        <w:tabs>
          <w:tab w:val="clear" w:pos="4252"/>
          <w:tab w:val="clear" w:pos="8504"/>
          <w:tab w:val="left" w:pos="9356"/>
        </w:tabs>
        <w:spacing w:line="360" w:lineRule="auto"/>
        <w:ind w:right="48"/>
        <w:jc w:val="both"/>
        <w:rPr>
          <w:rFonts w:ascii="Arial" w:hAnsi="Arial" w:cs="Arial"/>
        </w:rPr>
      </w:pPr>
      <w:r>
        <w:rPr>
          <w:rFonts w:ascii="Arial" w:hAnsi="Arial" w:cs="Arial"/>
        </w:rPr>
        <w:t>Arrendamientos, prestación de servicios y adquisiciones;</w:t>
      </w:r>
    </w:p>
    <w:p w:rsidR="00D573D2" w:rsidRDefault="00D573D2" w:rsidP="003A5FB6">
      <w:pPr>
        <w:pStyle w:val="Encabezado"/>
        <w:numPr>
          <w:ilvl w:val="0"/>
          <w:numId w:val="12"/>
        </w:numPr>
        <w:tabs>
          <w:tab w:val="clear" w:pos="4252"/>
          <w:tab w:val="clear" w:pos="8504"/>
          <w:tab w:val="left" w:pos="9356"/>
        </w:tabs>
        <w:spacing w:line="360" w:lineRule="auto"/>
        <w:ind w:right="48"/>
        <w:jc w:val="both"/>
        <w:rPr>
          <w:rFonts w:ascii="Arial" w:hAnsi="Arial" w:cs="Arial"/>
        </w:rPr>
      </w:pPr>
      <w:r>
        <w:rPr>
          <w:rFonts w:ascii="Arial" w:hAnsi="Arial" w:cs="Arial"/>
        </w:rPr>
        <w:t>Consultorías, asesorías y estudios e investigaciones; y</w:t>
      </w:r>
    </w:p>
    <w:p w:rsidR="00D573D2" w:rsidRPr="00F50E2F" w:rsidRDefault="00D573D2" w:rsidP="003A5FB6">
      <w:pPr>
        <w:pStyle w:val="Encabezado"/>
        <w:numPr>
          <w:ilvl w:val="0"/>
          <w:numId w:val="12"/>
        </w:numPr>
        <w:tabs>
          <w:tab w:val="clear" w:pos="4252"/>
          <w:tab w:val="clear" w:pos="8504"/>
          <w:tab w:val="left" w:pos="9356"/>
        </w:tabs>
        <w:spacing w:line="360" w:lineRule="auto"/>
        <w:ind w:right="48"/>
        <w:jc w:val="both"/>
        <w:rPr>
          <w:rFonts w:ascii="Arial" w:hAnsi="Arial" w:cs="Arial"/>
        </w:rPr>
      </w:pPr>
      <w:r w:rsidRPr="00F50E2F">
        <w:rPr>
          <w:rFonts w:ascii="Arial" w:hAnsi="Arial" w:cs="Arial"/>
        </w:rPr>
        <w:t xml:space="preserve">Entidades </w:t>
      </w:r>
      <w:r w:rsidR="00F50E2F" w:rsidRPr="00F50E2F">
        <w:rPr>
          <w:rFonts w:ascii="Arial" w:hAnsi="Arial" w:cs="Arial"/>
        </w:rPr>
        <w:t>que cuenten con autorización de la S. H</w:t>
      </w:r>
      <w:r w:rsidR="000938FC">
        <w:rPr>
          <w:rFonts w:ascii="Arial" w:hAnsi="Arial" w:cs="Arial"/>
        </w:rPr>
        <w:t>.</w:t>
      </w:r>
      <w:r w:rsidR="00F50E2F" w:rsidRPr="00F50E2F">
        <w:rPr>
          <w:rFonts w:ascii="Arial" w:hAnsi="Arial" w:cs="Arial"/>
        </w:rPr>
        <w:t xml:space="preserve"> y C</w:t>
      </w:r>
      <w:r w:rsidR="000938FC">
        <w:rPr>
          <w:rFonts w:ascii="Arial" w:hAnsi="Arial" w:cs="Arial"/>
        </w:rPr>
        <w:t>.</w:t>
      </w:r>
      <w:r w:rsidR="00F50E2F" w:rsidRPr="00F50E2F">
        <w:rPr>
          <w:rFonts w:ascii="Arial" w:hAnsi="Arial" w:cs="Arial"/>
        </w:rPr>
        <w:t xml:space="preserve"> P., para operar como Instituciones de</w:t>
      </w:r>
      <w:r w:rsidRPr="00F50E2F">
        <w:rPr>
          <w:rFonts w:ascii="Arial" w:hAnsi="Arial" w:cs="Arial"/>
        </w:rPr>
        <w:t xml:space="preserve"> </w:t>
      </w:r>
      <w:r w:rsidR="00F50E2F" w:rsidRPr="00F50E2F">
        <w:rPr>
          <w:rFonts w:ascii="Arial" w:hAnsi="Arial" w:cs="Arial"/>
        </w:rPr>
        <w:t>S</w:t>
      </w:r>
      <w:r w:rsidRPr="00F50E2F">
        <w:rPr>
          <w:rFonts w:ascii="Arial" w:hAnsi="Arial" w:cs="Arial"/>
        </w:rPr>
        <w:t>eguros.</w:t>
      </w:r>
    </w:p>
    <w:p w:rsidR="00F50E2F" w:rsidRDefault="00F50E2F" w:rsidP="0073109F">
      <w:pPr>
        <w:pStyle w:val="Encabezado"/>
        <w:tabs>
          <w:tab w:val="clear" w:pos="4252"/>
          <w:tab w:val="clear" w:pos="8504"/>
          <w:tab w:val="left" w:pos="9356"/>
        </w:tabs>
        <w:spacing w:line="360" w:lineRule="auto"/>
        <w:ind w:right="48"/>
        <w:jc w:val="both"/>
        <w:rPr>
          <w:rFonts w:ascii="Arial" w:hAnsi="Arial" w:cs="Arial"/>
        </w:rPr>
      </w:pPr>
    </w:p>
    <w:p w:rsidR="0073109F" w:rsidRDefault="00CF7BC7" w:rsidP="0073109F">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Por otro lado</w:t>
      </w:r>
      <w:r w:rsidR="0073109F" w:rsidRPr="0078239F">
        <w:rPr>
          <w:rFonts w:ascii="Arial" w:hAnsi="Arial" w:cs="Arial"/>
        </w:rPr>
        <w:t xml:space="preserve">, </w:t>
      </w:r>
      <w:r w:rsidR="00712EE9" w:rsidRPr="0078239F">
        <w:rPr>
          <w:rFonts w:ascii="Arial" w:hAnsi="Arial" w:cs="Arial"/>
        </w:rPr>
        <w:t>dado</w:t>
      </w:r>
      <w:r w:rsidR="00712EE9">
        <w:rPr>
          <w:rFonts w:ascii="Arial" w:hAnsi="Arial" w:cs="Arial"/>
        </w:rPr>
        <w:t xml:space="preserve"> </w:t>
      </w:r>
      <w:r w:rsidR="0073109F">
        <w:rPr>
          <w:rFonts w:ascii="Arial" w:hAnsi="Arial" w:cs="Arial"/>
        </w:rPr>
        <w:t xml:space="preserve">que establecer parámetros excesivos en materia </w:t>
      </w:r>
      <w:r w:rsidR="00CB21A4">
        <w:rPr>
          <w:rFonts w:ascii="Arial" w:hAnsi="Arial" w:cs="Arial"/>
        </w:rPr>
        <w:t>de indicadores financieros puede</w:t>
      </w:r>
      <w:r w:rsidR="0073109F">
        <w:rPr>
          <w:rFonts w:ascii="Arial" w:hAnsi="Arial" w:cs="Arial"/>
        </w:rPr>
        <w:t xml:space="preserve"> ser motivo de que sean pocos los participantes que cumplan con los resultados esperados</w:t>
      </w:r>
      <w:r w:rsidR="00F11C37">
        <w:rPr>
          <w:rFonts w:ascii="Arial" w:hAnsi="Arial" w:cs="Arial"/>
        </w:rPr>
        <w:t xml:space="preserve"> y requeridos</w:t>
      </w:r>
      <w:r w:rsidR="0073109F">
        <w:rPr>
          <w:rFonts w:ascii="Arial" w:hAnsi="Arial" w:cs="Arial"/>
        </w:rPr>
        <w:t>,</w:t>
      </w:r>
      <w:r w:rsidR="0073109F" w:rsidRPr="0073109F">
        <w:rPr>
          <w:rFonts w:ascii="Arial" w:hAnsi="Arial" w:cs="Arial"/>
        </w:rPr>
        <w:t xml:space="preserve"> </w:t>
      </w:r>
      <w:r w:rsidR="009D0E23">
        <w:rPr>
          <w:rFonts w:ascii="Arial" w:hAnsi="Arial" w:cs="Arial"/>
        </w:rPr>
        <w:t>en cumplimiento a lo establecido en la parte final de la fracción II del artículo 63 del Acuerdo General,</w:t>
      </w:r>
      <w:r w:rsidR="00AD3709">
        <w:rPr>
          <w:rFonts w:ascii="Arial" w:hAnsi="Arial" w:cs="Arial"/>
        </w:rPr>
        <w:t xml:space="preserve"> que señala “</w:t>
      </w:r>
      <w:r w:rsidR="00AD3709">
        <w:rPr>
          <w:rFonts w:ascii="Arial" w:hAnsi="Arial" w:cs="Arial"/>
          <w:i/>
        </w:rPr>
        <w:t>los requisitos solicitados disminuirán para contrataciones de montos menores o cuando los pagos respectivos se realice</w:t>
      </w:r>
      <w:r>
        <w:rPr>
          <w:rFonts w:ascii="Arial" w:hAnsi="Arial" w:cs="Arial"/>
          <w:i/>
        </w:rPr>
        <w:t>n</w:t>
      </w:r>
      <w:r w:rsidR="00AD3709">
        <w:rPr>
          <w:rFonts w:ascii="Arial" w:hAnsi="Arial" w:cs="Arial"/>
          <w:i/>
        </w:rPr>
        <w:t xml:space="preserve"> una vez recibidos los bienes a plena satisfacción”</w:t>
      </w:r>
      <w:r w:rsidR="00AD3709">
        <w:rPr>
          <w:rFonts w:ascii="Arial" w:hAnsi="Arial" w:cs="Arial"/>
        </w:rPr>
        <w:t>,</w:t>
      </w:r>
      <w:r w:rsidR="009D0E23">
        <w:rPr>
          <w:rFonts w:ascii="Arial" w:hAnsi="Arial" w:cs="Arial"/>
        </w:rPr>
        <w:t xml:space="preserve"> </w:t>
      </w:r>
      <w:r w:rsidR="0073109F">
        <w:rPr>
          <w:rFonts w:ascii="Arial" w:hAnsi="Arial" w:cs="Arial"/>
        </w:rPr>
        <w:t>se establecieron parámetros diferenciados en los resultados de los indicadores financieros</w:t>
      </w:r>
      <w:r w:rsidR="009D0E23" w:rsidRPr="009D0E23">
        <w:rPr>
          <w:rFonts w:ascii="Arial" w:hAnsi="Arial" w:cs="Arial"/>
        </w:rPr>
        <w:t xml:space="preserve"> </w:t>
      </w:r>
      <w:r w:rsidR="009D0E23">
        <w:rPr>
          <w:rFonts w:ascii="Arial" w:hAnsi="Arial" w:cs="Arial"/>
        </w:rPr>
        <w:t xml:space="preserve">para cada uno de los </w:t>
      </w:r>
      <w:r w:rsidR="009D0E23">
        <w:rPr>
          <w:rFonts w:ascii="Arial" w:hAnsi="Arial" w:cs="Arial"/>
        </w:rPr>
        <w:lastRenderedPageBreak/>
        <w:t>grupos antes descritos</w:t>
      </w:r>
      <w:r w:rsidR="0073109F">
        <w:rPr>
          <w:rFonts w:ascii="Arial" w:hAnsi="Arial" w:cs="Arial"/>
        </w:rPr>
        <w:t xml:space="preserve">, </w:t>
      </w:r>
      <w:r w:rsidR="009D0E23">
        <w:rPr>
          <w:rFonts w:ascii="Arial" w:hAnsi="Arial" w:cs="Arial"/>
        </w:rPr>
        <w:t xml:space="preserve">que </w:t>
      </w:r>
      <w:r w:rsidR="0073109F">
        <w:rPr>
          <w:rFonts w:ascii="Arial" w:hAnsi="Arial" w:cs="Arial"/>
        </w:rPr>
        <w:t>sin ser excesivos, otorg</w:t>
      </w:r>
      <w:r w:rsidR="009D0E23">
        <w:rPr>
          <w:rFonts w:ascii="Arial" w:hAnsi="Arial" w:cs="Arial"/>
        </w:rPr>
        <w:t xml:space="preserve">an certeza a este </w:t>
      </w:r>
      <w:r w:rsidR="0073109F">
        <w:rPr>
          <w:rFonts w:ascii="Arial" w:hAnsi="Arial" w:cs="Arial"/>
        </w:rPr>
        <w:t xml:space="preserve">Tribunal </w:t>
      </w:r>
      <w:r w:rsidR="009D0E23">
        <w:rPr>
          <w:rFonts w:ascii="Arial" w:hAnsi="Arial" w:cs="Arial"/>
        </w:rPr>
        <w:t xml:space="preserve">Electoral </w:t>
      </w:r>
      <w:r w:rsidR="0073109F">
        <w:rPr>
          <w:rFonts w:ascii="Arial" w:hAnsi="Arial" w:cs="Arial"/>
        </w:rPr>
        <w:t xml:space="preserve">respecto al </w:t>
      </w:r>
      <w:r w:rsidR="0073109F" w:rsidRPr="00AD3709">
        <w:rPr>
          <w:rFonts w:ascii="Arial" w:hAnsi="Arial" w:cs="Arial"/>
          <w:i/>
          <w:u w:val="single"/>
        </w:rPr>
        <w:t>grado de solvencia financiera</w:t>
      </w:r>
      <w:r w:rsidR="0073109F">
        <w:rPr>
          <w:rFonts w:ascii="Arial" w:hAnsi="Arial" w:cs="Arial"/>
        </w:rPr>
        <w:t xml:space="preserve"> </w:t>
      </w:r>
      <w:r w:rsidR="009D0E23">
        <w:rPr>
          <w:rFonts w:ascii="Arial" w:hAnsi="Arial" w:cs="Arial"/>
        </w:rPr>
        <w:t>de cada participante</w:t>
      </w:r>
      <w:r w:rsidR="007E5BB1">
        <w:rPr>
          <w:rFonts w:ascii="Arial" w:hAnsi="Arial" w:cs="Arial"/>
        </w:rPr>
        <w:t>.</w:t>
      </w:r>
    </w:p>
    <w:p w:rsidR="0073109F" w:rsidRDefault="0073109F" w:rsidP="00D573D2">
      <w:pPr>
        <w:pStyle w:val="Encabezado"/>
        <w:tabs>
          <w:tab w:val="clear" w:pos="4252"/>
          <w:tab w:val="clear" w:pos="8504"/>
          <w:tab w:val="left" w:pos="9356"/>
        </w:tabs>
        <w:spacing w:line="360" w:lineRule="auto"/>
        <w:ind w:right="48"/>
        <w:jc w:val="both"/>
        <w:rPr>
          <w:rFonts w:ascii="Arial" w:hAnsi="Arial" w:cs="Arial"/>
        </w:rPr>
      </w:pPr>
    </w:p>
    <w:p w:rsidR="0073109F" w:rsidRDefault="0079454E" w:rsidP="00D573D2">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Cabe señalar que los parámetros establecidos en los indicadores financieros se determinaron con base al historial de resultados obtenidos por las empresas</w:t>
      </w:r>
      <w:r w:rsidR="00E9519D">
        <w:rPr>
          <w:rFonts w:ascii="Arial" w:hAnsi="Arial" w:cs="Arial"/>
        </w:rPr>
        <w:t xml:space="preserve"> que</w:t>
      </w:r>
      <w:r>
        <w:rPr>
          <w:rFonts w:ascii="Arial" w:hAnsi="Arial" w:cs="Arial"/>
        </w:rPr>
        <w:t xml:space="preserve"> han participado en el Tribunal Electoral</w:t>
      </w:r>
      <w:r w:rsidR="00E9519D">
        <w:rPr>
          <w:rFonts w:ascii="Arial" w:hAnsi="Arial" w:cs="Arial"/>
        </w:rPr>
        <w:t xml:space="preserve"> durante los tres </w:t>
      </w:r>
      <w:r w:rsidR="007E5BB1">
        <w:rPr>
          <w:rFonts w:ascii="Arial" w:hAnsi="Arial" w:cs="Arial"/>
        </w:rPr>
        <w:t xml:space="preserve">últimos </w:t>
      </w:r>
      <w:r w:rsidR="00E9519D">
        <w:rPr>
          <w:rFonts w:ascii="Arial" w:hAnsi="Arial" w:cs="Arial"/>
        </w:rPr>
        <w:t>ejercicios fiscales</w:t>
      </w:r>
      <w:r>
        <w:rPr>
          <w:rFonts w:ascii="Arial" w:hAnsi="Arial" w:cs="Arial"/>
        </w:rPr>
        <w:t xml:space="preserve">, </w:t>
      </w:r>
      <w:r w:rsidR="00E9519D">
        <w:rPr>
          <w:rFonts w:ascii="Arial" w:hAnsi="Arial" w:cs="Arial"/>
        </w:rPr>
        <w:t>con</w:t>
      </w:r>
      <w:r>
        <w:rPr>
          <w:rFonts w:ascii="Arial" w:hAnsi="Arial" w:cs="Arial"/>
        </w:rPr>
        <w:t xml:space="preserve"> lo cual </w:t>
      </w:r>
      <w:r w:rsidR="00E9519D">
        <w:rPr>
          <w:rFonts w:ascii="Arial" w:hAnsi="Arial" w:cs="Arial"/>
        </w:rPr>
        <w:t xml:space="preserve">se desprende que corresponden a </w:t>
      </w:r>
      <w:r>
        <w:rPr>
          <w:rFonts w:ascii="Arial" w:hAnsi="Arial" w:cs="Arial"/>
        </w:rPr>
        <w:t xml:space="preserve">la realidad </w:t>
      </w:r>
      <w:r w:rsidR="00E9519D">
        <w:rPr>
          <w:rFonts w:ascii="Arial" w:hAnsi="Arial" w:cs="Arial"/>
        </w:rPr>
        <w:t>económica del país</w:t>
      </w:r>
      <w:r w:rsidR="00CF7BC7">
        <w:rPr>
          <w:rFonts w:ascii="Arial" w:hAnsi="Arial" w:cs="Arial"/>
        </w:rPr>
        <w:t xml:space="preserve"> y</w:t>
      </w:r>
      <w:r w:rsidR="00AD3709">
        <w:rPr>
          <w:rFonts w:ascii="Arial" w:hAnsi="Arial" w:cs="Arial"/>
        </w:rPr>
        <w:t xml:space="preserve"> por ende, </w:t>
      </w:r>
      <w:r w:rsidR="00E9519D">
        <w:rPr>
          <w:rFonts w:ascii="Arial" w:hAnsi="Arial" w:cs="Arial"/>
        </w:rPr>
        <w:t xml:space="preserve">a la realidad </w:t>
      </w:r>
      <w:r>
        <w:rPr>
          <w:rFonts w:ascii="Arial" w:hAnsi="Arial" w:cs="Arial"/>
        </w:rPr>
        <w:t>generalizada de las empresas</w:t>
      </w:r>
      <w:r w:rsidR="00AD3709">
        <w:rPr>
          <w:rFonts w:ascii="Arial" w:hAnsi="Arial" w:cs="Arial"/>
        </w:rPr>
        <w:t xml:space="preserve"> en su entorno económico financiero</w:t>
      </w:r>
      <w:r w:rsidR="00E9519D">
        <w:rPr>
          <w:rFonts w:ascii="Arial" w:hAnsi="Arial" w:cs="Arial"/>
        </w:rPr>
        <w:t>.</w:t>
      </w:r>
    </w:p>
    <w:p w:rsidR="0073109F" w:rsidRDefault="0073109F" w:rsidP="00D573D2">
      <w:pPr>
        <w:pStyle w:val="Encabezado"/>
        <w:tabs>
          <w:tab w:val="clear" w:pos="4252"/>
          <w:tab w:val="clear" w:pos="8504"/>
          <w:tab w:val="left" w:pos="9356"/>
        </w:tabs>
        <w:spacing w:line="360" w:lineRule="auto"/>
        <w:ind w:right="48"/>
        <w:jc w:val="both"/>
        <w:rPr>
          <w:rFonts w:ascii="Arial" w:hAnsi="Arial" w:cs="Arial"/>
        </w:rPr>
      </w:pPr>
    </w:p>
    <w:p w:rsidR="00BC62B0" w:rsidRPr="003F3317" w:rsidRDefault="000938FC" w:rsidP="00D573D2">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Asimismo</w:t>
      </w:r>
      <w:r w:rsidR="00E9519D">
        <w:rPr>
          <w:rFonts w:ascii="Arial" w:hAnsi="Arial" w:cs="Arial"/>
        </w:rPr>
        <w:t xml:space="preserve">, </w:t>
      </w:r>
      <w:r w:rsidR="00CB21A4">
        <w:rPr>
          <w:rFonts w:ascii="Arial" w:hAnsi="Arial" w:cs="Arial"/>
        </w:rPr>
        <w:t xml:space="preserve">en los presentes lineamientos se precisan los criterios </w:t>
      </w:r>
      <w:r w:rsidR="00431384">
        <w:rPr>
          <w:rFonts w:ascii="Arial" w:hAnsi="Arial" w:cs="Arial"/>
        </w:rPr>
        <w:t xml:space="preserve">utilizados por la Coordinación Financiera </w:t>
      </w:r>
      <w:r w:rsidR="00BC62B0">
        <w:rPr>
          <w:rFonts w:ascii="Arial" w:hAnsi="Arial" w:cs="Arial"/>
        </w:rPr>
        <w:t>para evaluar el cumplimiento de los req</w:t>
      </w:r>
      <w:r w:rsidR="003F3317">
        <w:rPr>
          <w:rFonts w:ascii="Arial" w:hAnsi="Arial" w:cs="Arial"/>
        </w:rPr>
        <w:t>uisitos contables y financieros</w:t>
      </w:r>
      <w:r w:rsidR="00BC62B0">
        <w:rPr>
          <w:rFonts w:ascii="Arial" w:hAnsi="Arial" w:cs="Arial"/>
        </w:rPr>
        <w:t xml:space="preserve"> </w:t>
      </w:r>
      <w:r w:rsidR="003F3317">
        <w:rPr>
          <w:rFonts w:ascii="Arial" w:hAnsi="Arial" w:cs="Arial"/>
        </w:rPr>
        <w:t xml:space="preserve">o </w:t>
      </w:r>
      <w:r w:rsidR="00AD3709">
        <w:rPr>
          <w:rFonts w:ascii="Arial" w:hAnsi="Arial" w:cs="Arial"/>
        </w:rPr>
        <w:t>en su caso, cuando sea requerido</w:t>
      </w:r>
      <w:r w:rsidR="003F3317">
        <w:rPr>
          <w:rFonts w:ascii="Arial" w:hAnsi="Arial" w:cs="Arial"/>
        </w:rPr>
        <w:t>,</w:t>
      </w:r>
      <w:r w:rsidR="00DB25AB">
        <w:rPr>
          <w:rFonts w:ascii="Arial" w:hAnsi="Arial" w:cs="Arial"/>
        </w:rPr>
        <w:t xml:space="preserve"> </w:t>
      </w:r>
      <w:r w:rsidR="00AD3709">
        <w:rPr>
          <w:rFonts w:ascii="Arial" w:hAnsi="Arial" w:cs="Arial"/>
        </w:rPr>
        <w:t xml:space="preserve">el análisis y su interpretación de la </w:t>
      </w:r>
      <w:r w:rsidR="00DB25AB">
        <w:rPr>
          <w:rFonts w:ascii="Arial" w:hAnsi="Arial" w:cs="Arial"/>
        </w:rPr>
        <w:t>situación f</w:t>
      </w:r>
      <w:r w:rsidR="00AD3709">
        <w:rPr>
          <w:rFonts w:ascii="Arial" w:hAnsi="Arial" w:cs="Arial"/>
        </w:rPr>
        <w:t xml:space="preserve">inanciera de las empresas participantes, </w:t>
      </w:r>
      <w:r w:rsidR="00BC62B0">
        <w:rPr>
          <w:rFonts w:ascii="Arial" w:hAnsi="Arial" w:cs="Arial"/>
        </w:rPr>
        <w:t xml:space="preserve">con los cuales sustentará su opinión y procederá </w:t>
      </w:r>
      <w:r w:rsidR="004D12ED">
        <w:rPr>
          <w:rFonts w:ascii="Arial" w:hAnsi="Arial" w:cs="Arial"/>
        </w:rPr>
        <w:t xml:space="preserve">a </w:t>
      </w:r>
      <w:r w:rsidR="00BC62B0">
        <w:rPr>
          <w:rFonts w:ascii="Arial" w:hAnsi="Arial" w:cs="Arial"/>
        </w:rPr>
        <w:t>la formulación del dictamen resolutivo financiero</w:t>
      </w:r>
      <w:r w:rsidR="00AD3709">
        <w:rPr>
          <w:rFonts w:ascii="Arial" w:hAnsi="Arial" w:cs="Arial"/>
        </w:rPr>
        <w:t xml:space="preserve"> </w:t>
      </w:r>
      <w:r w:rsidR="00DB25AB">
        <w:rPr>
          <w:rFonts w:ascii="Arial" w:hAnsi="Arial" w:cs="Arial"/>
        </w:rPr>
        <w:t>a fin</w:t>
      </w:r>
      <w:r w:rsidR="00AD3709">
        <w:rPr>
          <w:rFonts w:ascii="Arial" w:hAnsi="Arial" w:cs="Arial"/>
        </w:rPr>
        <w:t xml:space="preserve"> </w:t>
      </w:r>
      <w:r w:rsidR="00DB25AB">
        <w:rPr>
          <w:rFonts w:ascii="Arial" w:hAnsi="Arial" w:cs="Arial"/>
        </w:rPr>
        <w:t>de</w:t>
      </w:r>
      <w:r w:rsidR="00AD3709">
        <w:rPr>
          <w:rFonts w:ascii="Arial" w:hAnsi="Arial" w:cs="Arial"/>
        </w:rPr>
        <w:t xml:space="preserve"> </w:t>
      </w:r>
      <w:r w:rsidR="00D56290">
        <w:rPr>
          <w:rFonts w:ascii="Arial" w:hAnsi="Arial" w:cs="Arial"/>
        </w:rPr>
        <w:t xml:space="preserve">que el Tribunal Electoral cuente con las </w:t>
      </w:r>
      <w:r w:rsidR="00D56290" w:rsidRPr="003F3317">
        <w:rPr>
          <w:rFonts w:ascii="Arial" w:hAnsi="Arial" w:cs="Arial"/>
          <w:b/>
          <w:u w:val="single"/>
        </w:rPr>
        <w:t>mejores condiciones disponibles en cuanto a precio, calidad, financiamiento, oportunidad y demás circunstancias pertinentes</w:t>
      </w:r>
      <w:r w:rsidR="00BC62B0" w:rsidRPr="003F3317">
        <w:rPr>
          <w:rFonts w:ascii="Arial" w:hAnsi="Arial" w:cs="Arial"/>
        </w:rPr>
        <w:t>.</w:t>
      </w:r>
    </w:p>
    <w:p w:rsidR="00BC62B0" w:rsidRDefault="00BC62B0" w:rsidP="00D573D2">
      <w:pPr>
        <w:pStyle w:val="Encabezado"/>
        <w:tabs>
          <w:tab w:val="clear" w:pos="4252"/>
          <w:tab w:val="clear" w:pos="8504"/>
          <w:tab w:val="left" w:pos="9356"/>
        </w:tabs>
        <w:spacing w:line="360" w:lineRule="auto"/>
        <w:ind w:right="48"/>
        <w:jc w:val="both"/>
        <w:rPr>
          <w:rFonts w:ascii="Arial" w:hAnsi="Arial" w:cs="Arial"/>
        </w:rPr>
      </w:pPr>
    </w:p>
    <w:p w:rsidR="008104EE" w:rsidRDefault="001E64E8" w:rsidP="001E64E8">
      <w:pPr>
        <w:pStyle w:val="Encabezado"/>
        <w:tabs>
          <w:tab w:val="clear" w:pos="4252"/>
          <w:tab w:val="clear" w:pos="8504"/>
          <w:tab w:val="left" w:pos="9356"/>
        </w:tabs>
        <w:spacing w:line="360" w:lineRule="auto"/>
        <w:ind w:right="48"/>
        <w:jc w:val="both"/>
        <w:rPr>
          <w:rFonts w:ascii="Arial" w:hAnsi="Arial" w:cs="Arial"/>
        </w:rPr>
      </w:pPr>
      <w:r>
        <w:rPr>
          <w:rFonts w:ascii="Arial" w:hAnsi="Arial" w:cs="Arial"/>
        </w:rPr>
        <w:t>Por lo expuesto,</w:t>
      </w:r>
      <w:r w:rsidR="007E5BB1">
        <w:rPr>
          <w:rFonts w:ascii="Arial" w:hAnsi="Arial" w:cs="Arial"/>
        </w:rPr>
        <w:t xml:space="preserve"> </w:t>
      </w:r>
      <w:r>
        <w:rPr>
          <w:rFonts w:ascii="Arial" w:hAnsi="Arial" w:cs="Arial"/>
        </w:rPr>
        <w:t>con el fin de evitar interpretaciones vagas o ambiguas por parte de</w:t>
      </w:r>
      <w:r w:rsidR="003F3317">
        <w:rPr>
          <w:rFonts w:ascii="Arial" w:hAnsi="Arial" w:cs="Arial"/>
        </w:rPr>
        <w:t xml:space="preserve"> los usuarios de la información</w:t>
      </w:r>
      <w:r>
        <w:rPr>
          <w:rFonts w:ascii="Arial" w:hAnsi="Arial" w:cs="Arial"/>
        </w:rPr>
        <w:t xml:space="preserve"> respecto de los resultados obtenidos de la evaluación financiera, </w:t>
      </w:r>
      <w:r w:rsidR="00BC62B0">
        <w:rPr>
          <w:rFonts w:ascii="Arial" w:hAnsi="Arial" w:cs="Arial"/>
        </w:rPr>
        <w:t>es de suma importancia para la Coordinación Financiera contar con un documento normativo que proporcione información precisa y clara</w:t>
      </w:r>
      <w:r w:rsidR="009C2F19">
        <w:rPr>
          <w:rFonts w:ascii="Arial" w:hAnsi="Arial" w:cs="Arial"/>
        </w:rPr>
        <w:t>, respecto a</w:t>
      </w:r>
      <w:r w:rsidR="00EF3DC3">
        <w:rPr>
          <w:rFonts w:ascii="Arial" w:hAnsi="Arial" w:cs="Arial"/>
        </w:rPr>
        <w:t>l</w:t>
      </w:r>
      <w:r w:rsidR="00BC62B0">
        <w:rPr>
          <w:rFonts w:ascii="Arial" w:hAnsi="Arial" w:cs="Arial"/>
        </w:rPr>
        <w:t xml:space="preserve"> tipo de documentación financiera requerida</w:t>
      </w:r>
      <w:r>
        <w:rPr>
          <w:rFonts w:ascii="Arial" w:hAnsi="Arial" w:cs="Arial"/>
        </w:rPr>
        <w:t xml:space="preserve">, así como </w:t>
      </w:r>
      <w:r w:rsidR="00BC62B0">
        <w:rPr>
          <w:rFonts w:ascii="Arial" w:hAnsi="Arial" w:cs="Arial"/>
        </w:rPr>
        <w:t>la técnica</w:t>
      </w:r>
      <w:r w:rsidR="00D56290">
        <w:rPr>
          <w:rFonts w:ascii="Arial" w:hAnsi="Arial" w:cs="Arial"/>
        </w:rPr>
        <w:t xml:space="preserve"> de análisis de </w:t>
      </w:r>
      <w:r w:rsidR="00DB25AB">
        <w:rPr>
          <w:rFonts w:ascii="Arial" w:hAnsi="Arial" w:cs="Arial"/>
        </w:rPr>
        <w:t>e</w:t>
      </w:r>
      <w:r w:rsidR="00D56290">
        <w:rPr>
          <w:rFonts w:ascii="Arial" w:hAnsi="Arial" w:cs="Arial"/>
        </w:rPr>
        <w:t xml:space="preserve">stados </w:t>
      </w:r>
      <w:r w:rsidR="00DB25AB">
        <w:rPr>
          <w:rFonts w:ascii="Arial" w:hAnsi="Arial" w:cs="Arial"/>
        </w:rPr>
        <w:t>f</w:t>
      </w:r>
      <w:r w:rsidR="00D56290">
        <w:rPr>
          <w:rFonts w:ascii="Arial" w:hAnsi="Arial" w:cs="Arial"/>
        </w:rPr>
        <w:t>inancieros</w:t>
      </w:r>
      <w:r w:rsidR="00EF3DC3">
        <w:rPr>
          <w:rFonts w:ascii="Arial" w:hAnsi="Arial" w:cs="Arial"/>
        </w:rPr>
        <w:t xml:space="preserve"> y criterios</w:t>
      </w:r>
      <w:r w:rsidR="009037EC">
        <w:rPr>
          <w:rFonts w:ascii="Arial" w:hAnsi="Arial" w:cs="Arial"/>
        </w:rPr>
        <w:t xml:space="preserve"> homogéneos</w:t>
      </w:r>
      <w:r w:rsidR="00EF3DC3">
        <w:rPr>
          <w:rFonts w:ascii="Arial" w:hAnsi="Arial" w:cs="Arial"/>
        </w:rPr>
        <w:t xml:space="preserve"> utilizados </w:t>
      </w:r>
      <w:r>
        <w:rPr>
          <w:rFonts w:ascii="Arial" w:hAnsi="Arial" w:cs="Arial"/>
        </w:rPr>
        <w:t xml:space="preserve">en </w:t>
      </w:r>
      <w:r w:rsidR="009C2F19">
        <w:rPr>
          <w:rFonts w:ascii="Arial" w:hAnsi="Arial" w:cs="Arial"/>
        </w:rPr>
        <w:t xml:space="preserve">la </w:t>
      </w:r>
      <w:r>
        <w:rPr>
          <w:rFonts w:ascii="Arial" w:hAnsi="Arial" w:cs="Arial"/>
        </w:rPr>
        <w:t xml:space="preserve">elaboración y </w:t>
      </w:r>
      <w:r w:rsidR="009C2F19">
        <w:rPr>
          <w:rFonts w:ascii="Arial" w:hAnsi="Arial" w:cs="Arial"/>
        </w:rPr>
        <w:t>emisión d</w:t>
      </w:r>
      <w:r w:rsidR="007E5BB1">
        <w:rPr>
          <w:rFonts w:ascii="Arial" w:hAnsi="Arial" w:cs="Arial"/>
        </w:rPr>
        <w:t>el dictamen resolutivo financiero</w:t>
      </w:r>
      <w:r>
        <w:rPr>
          <w:rFonts w:ascii="Arial" w:hAnsi="Arial" w:cs="Arial"/>
        </w:rPr>
        <w:t>.</w:t>
      </w:r>
    </w:p>
    <w:p w:rsidR="009037EC" w:rsidRDefault="009037EC" w:rsidP="001E64E8">
      <w:pPr>
        <w:pStyle w:val="Encabezado"/>
        <w:tabs>
          <w:tab w:val="clear" w:pos="4252"/>
          <w:tab w:val="clear" w:pos="8504"/>
          <w:tab w:val="left" w:pos="9356"/>
        </w:tabs>
        <w:spacing w:line="360" w:lineRule="auto"/>
        <w:ind w:right="48"/>
        <w:jc w:val="both"/>
        <w:rPr>
          <w:rFonts w:ascii="Arial" w:hAnsi="Arial" w:cs="Arial"/>
        </w:rPr>
      </w:pPr>
    </w:p>
    <w:p w:rsidR="009037EC" w:rsidRDefault="009037EC" w:rsidP="001E64E8">
      <w:pPr>
        <w:pStyle w:val="Encabezado"/>
        <w:tabs>
          <w:tab w:val="clear" w:pos="4252"/>
          <w:tab w:val="clear" w:pos="8504"/>
          <w:tab w:val="left" w:pos="9356"/>
        </w:tabs>
        <w:spacing w:line="360" w:lineRule="auto"/>
        <w:ind w:right="48"/>
        <w:jc w:val="both"/>
        <w:rPr>
          <w:rFonts w:ascii="Arial" w:hAnsi="Arial" w:cs="Arial"/>
        </w:rPr>
      </w:pPr>
    </w:p>
    <w:p w:rsidR="009037EC" w:rsidRDefault="009037EC">
      <w:pPr>
        <w:rPr>
          <w:rFonts w:ascii="Arial" w:hAnsi="Arial" w:cs="Arial"/>
        </w:rPr>
      </w:pPr>
    </w:p>
    <w:p w:rsidR="00CE5FA8" w:rsidRDefault="00CE5FA8">
      <w:pPr>
        <w:rPr>
          <w:rFonts w:ascii="Arial" w:hAnsi="Arial" w:cs="Arial"/>
        </w:rPr>
      </w:pPr>
    </w:p>
    <w:p w:rsidR="00CE5FA8" w:rsidRDefault="00CE5FA8">
      <w:pPr>
        <w:rPr>
          <w:rFonts w:ascii="Arial" w:hAnsi="Arial" w:cs="Arial"/>
        </w:rPr>
      </w:pPr>
    </w:p>
    <w:p w:rsidR="00CE5FA8" w:rsidRDefault="00CE5FA8">
      <w:pPr>
        <w:rPr>
          <w:rFonts w:ascii="Arial" w:hAnsi="Arial" w:cs="Arial"/>
        </w:rPr>
      </w:pPr>
    </w:p>
    <w:p w:rsidR="00CE5FA8" w:rsidRDefault="00CE5FA8">
      <w:pPr>
        <w:rPr>
          <w:rFonts w:ascii="Arial" w:hAnsi="Arial" w:cs="Arial"/>
        </w:rPr>
      </w:pPr>
    </w:p>
    <w:p w:rsidR="009037EC" w:rsidRDefault="009037EC" w:rsidP="001E64E8">
      <w:pPr>
        <w:pStyle w:val="Encabezado"/>
        <w:tabs>
          <w:tab w:val="clear" w:pos="4252"/>
          <w:tab w:val="clear" w:pos="8504"/>
          <w:tab w:val="left" w:pos="9356"/>
        </w:tabs>
        <w:spacing w:line="360" w:lineRule="auto"/>
        <w:ind w:right="48"/>
        <w:jc w:val="both"/>
        <w:rPr>
          <w:rFonts w:ascii="Arial" w:hAnsi="Arial" w:cs="Arial"/>
        </w:rPr>
      </w:pPr>
    </w:p>
    <w:p w:rsidR="00A93D17" w:rsidRPr="00E53B09" w:rsidRDefault="00A93D17" w:rsidP="00A93D17">
      <w:pPr>
        <w:spacing w:line="360" w:lineRule="auto"/>
        <w:ind w:right="-94"/>
        <w:jc w:val="both"/>
        <w:rPr>
          <w:rFonts w:ascii="Arial" w:hAnsi="Arial" w:cs="Arial"/>
          <w:b/>
          <w:noProof/>
          <w:color w:val="00863D"/>
          <w:lang w:eastAsia="es-MX"/>
        </w:rPr>
      </w:pPr>
      <w:r w:rsidRPr="00E53B09">
        <w:rPr>
          <w:rFonts w:ascii="Arial" w:hAnsi="Arial" w:cs="Arial"/>
          <w:b/>
          <w:noProof/>
          <w:color w:val="00863D"/>
          <w:lang w:eastAsia="es-MX"/>
        </w:rPr>
        <w:t>OBJETIVO_________________________________________________</w:t>
      </w:r>
      <w:r>
        <w:rPr>
          <w:rFonts w:ascii="Arial" w:hAnsi="Arial" w:cs="Arial"/>
          <w:b/>
          <w:noProof/>
          <w:color w:val="00863D"/>
          <w:lang w:eastAsia="es-MX"/>
        </w:rPr>
        <w:t>_____</w:t>
      </w:r>
      <w:r w:rsidRPr="00E53B09">
        <w:rPr>
          <w:rFonts w:ascii="Arial" w:hAnsi="Arial" w:cs="Arial"/>
          <w:b/>
          <w:noProof/>
          <w:color w:val="00863D"/>
          <w:lang w:eastAsia="es-MX"/>
        </w:rPr>
        <w:t>________</w:t>
      </w:r>
    </w:p>
    <w:p w:rsidR="00A93D17" w:rsidRDefault="00A93D17" w:rsidP="00A93D17">
      <w:pPr>
        <w:spacing w:line="360" w:lineRule="auto"/>
        <w:ind w:right="48"/>
        <w:jc w:val="both"/>
        <w:rPr>
          <w:rFonts w:ascii="Arial" w:hAnsi="Arial" w:cs="Arial"/>
          <w:noProof/>
          <w:lang w:eastAsia="es-MX"/>
        </w:rPr>
      </w:pPr>
    </w:p>
    <w:p w:rsidR="00A93D17" w:rsidRDefault="00A93D17" w:rsidP="00A93D17">
      <w:pPr>
        <w:pStyle w:val="Textoindependiente"/>
        <w:spacing w:before="120" w:after="120" w:line="360" w:lineRule="auto"/>
        <w:jc w:val="both"/>
        <w:rPr>
          <w:rFonts w:cs="Arial"/>
          <w:sz w:val="24"/>
          <w:szCs w:val="24"/>
        </w:rPr>
      </w:pPr>
      <w:r w:rsidRPr="00423D59">
        <w:rPr>
          <w:rFonts w:cs="Arial"/>
          <w:sz w:val="24"/>
          <w:szCs w:val="24"/>
        </w:rPr>
        <w:t>Establecer lineamie</w:t>
      </w:r>
      <w:r>
        <w:rPr>
          <w:rFonts w:cs="Arial"/>
          <w:sz w:val="24"/>
          <w:szCs w:val="24"/>
        </w:rPr>
        <w:t>ntos</w:t>
      </w:r>
      <w:r w:rsidR="009037EC">
        <w:rPr>
          <w:rFonts w:cs="Arial"/>
          <w:sz w:val="24"/>
          <w:szCs w:val="24"/>
        </w:rPr>
        <w:t xml:space="preserve"> normativos</w:t>
      </w:r>
      <w:r>
        <w:rPr>
          <w:rFonts w:cs="Arial"/>
          <w:sz w:val="24"/>
          <w:szCs w:val="24"/>
        </w:rPr>
        <w:t xml:space="preserve"> para elaborar y </w:t>
      </w:r>
      <w:r w:rsidR="00CA4793" w:rsidRPr="0078239F">
        <w:rPr>
          <w:rFonts w:cs="Arial"/>
          <w:sz w:val="24"/>
          <w:szCs w:val="24"/>
        </w:rPr>
        <w:t>formular</w:t>
      </w:r>
      <w:r>
        <w:rPr>
          <w:rFonts w:cs="Arial"/>
          <w:sz w:val="24"/>
          <w:szCs w:val="24"/>
        </w:rPr>
        <w:t xml:space="preserve"> el d</w:t>
      </w:r>
      <w:r w:rsidRPr="00423D59">
        <w:rPr>
          <w:rFonts w:cs="Arial"/>
          <w:sz w:val="24"/>
          <w:szCs w:val="24"/>
        </w:rPr>
        <w:t xml:space="preserve">ictamen </w:t>
      </w:r>
      <w:r>
        <w:rPr>
          <w:rFonts w:cs="Arial"/>
          <w:sz w:val="24"/>
          <w:szCs w:val="24"/>
        </w:rPr>
        <w:t>r</w:t>
      </w:r>
      <w:r w:rsidRPr="00423D59">
        <w:rPr>
          <w:rFonts w:cs="Arial"/>
          <w:sz w:val="24"/>
          <w:szCs w:val="24"/>
        </w:rPr>
        <w:t xml:space="preserve">esolutivo </w:t>
      </w:r>
      <w:r>
        <w:rPr>
          <w:rFonts w:cs="Arial"/>
          <w:sz w:val="24"/>
          <w:szCs w:val="24"/>
        </w:rPr>
        <w:t>f</w:t>
      </w:r>
      <w:r w:rsidRPr="00423D59">
        <w:rPr>
          <w:rFonts w:cs="Arial"/>
          <w:sz w:val="24"/>
          <w:szCs w:val="24"/>
        </w:rPr>
        <w:t xml:space="preserve">inanciero, mediante </w:t>
      </w:r>
      <w:r>
        <w:rPr>
          <w:rFonts w:cs="Arial"/>
          <w:sz w:val="24"/>
          <w:szCs w:val="24"/>
        </w:rPr>
        <w:t>el cual</w:t>
      </w:r>
      <w:r w:rsidRPr="00423D59">
        <w:rPr>
          <w:rFonts w:cs="Arial"/>
          <w:sz w:val="24"/>
          <w:szCs w:val="24"/>
        </w:rPr>
        <w:t xml:space="preserve"> la Coordinación Financiera </w:t>
      </w:r>
      <w:r w:rsidR="00DB25AB">
        <w:rPr>
          <w:rFonts w:cs="Arial"/>
          <w:sz w:val="24"/>
          <w:szCs w:val="24"/>
        </w:rPr>
        <w:t xml:space="preserve">emita </w:t>
      </w:r>
      <w:r w:rsidR="009037EC">
        <w:rPr>
          <w:rFonts w:cs="Arial"/>
          <w:sz w:val="24"/>
          <w:szCs w:val="24"/>
        </w:rPr>
        <w:t>su opinión respecto</w:t>
      </w:r>
      <w:r w:rsidRPr="00423D59">
        <w:rPr>
          <w:rFonts w:cs="Arial"/>
          <w:sz w:val="24"/>
          <w:szCs w:val="24"/>
        </w:rPr>
        <w:t xml:space="preserve"> </w:t>
      </w:r>
      <w:r w:rsidR="009037EC">
        <w:rPr>
          <w:rFonts w:cs="Arial"/>
          <w:sz w:val="24"/>
          <w:szCs w:val="24"/>
        </w:rPr>
        <w:t>a</w:t>
      </w:r>
      <w:r w:rsidRPr="00423D59">
        <w:rPr>
          <w:rFonts w:cs="Arial"/>
          <w:sz w:val="24"/>
          <w:szCs w:val="24"/>
        </w:rPr>
        <w:t>l grado de solvencia financiera de los proveedores que suministren bienes muebles,</w:t>
      </w:r>
      <w:r w:rsidR="00DB25AB">
        <w:rPr>
          <w:rFonts w:cs="Arial"/>
          <w:sz w:val="24"/>
          <w:szCs w:val="24"/>
        </w:rPr>
        <w:t xml:space="preserve"> o</w:t>
      </w:r>
      <w:r w:rsidRPr="00423D59">
        <w:rPr>
          <w:rFonts w:cs="Arial"/>
          <w:sz w:val="24"/>
          <w:szCs w:val="24"/>
        </w:rPr>
        <w:t xml:space="preserve"> en su caso, que concedan el uso o goce temporal de éstos, o </w:t>
      </w:r>
      <w:r>
        <w:rPr>
          <w:rFonts w:cs="Arial"/>
          <w:sz w:val="24"/>
          <w:szCs w:val="24"/>
        </w:rPr>
        <w:t xml:space="preserve">bien, que proporcionen </w:t>
      </w:r>
      <w:r w:rsidRPr="00423D59">
        <w:rPr>
          <w:rFonts w:cs="Arial"/>
          <w:sz w:val="24"/>
          <w:szCs w:val="24"/>
        </w:rPr>
        <w:t>servicios de cualquier naturaleza, así como de contratistas que presenten propuestas en materia</w:t>
      </w:r>
      <w:r>
        <w:rPr>
          <w:rFonts w:cs="Arial"/>
          <w:sz w:val="24"/>
          <w:szCs w:val="24"/>
        </w:rPr>
        <w:t xml:space="preserve"> de </w:t>
      </w:r>
      <w:r w:rsidRPr="00423D59">
        <w:rPr>
          <w:rFonts w:cs="Arial"/>
          <w:sz w:val="24"/>
          <w:szCs w:val="24"/>
        </w:rPr>
        <w:t>obra pública y servicios relacionados con la misma</w:t>
      </w:r>
      <w:r w:rsidR="00461BA3">
        <w:rPr>
          <w:rFonts w:cs="Arial"/>
          <w:sz w:val="24"/>
          <w:szCs w:val="24"/>
        </w:rPr>
        <w:t>,</w:t>
      </w:r>
      <w:r w:rsidR="009037EC">
        <w:rPr>
          <w:rFonts w:cs="Arial"/>
          <w:sz w:val="24"/>
          <w:szCs w:val="24"/>
        </w:rPr>
        <w:t xml:space="preserve"> a través del análisis e interpretación de los Estados Fi</w:t>
      </w:r>
      <w:r w:rsidR="00097174">
        <w:rPr>
          <w:rFonts w:cs="Arial"/>
          <w:sz w:val="24"/>
          <w:szCs w:val="24"/>
        </w:rPr>
        <w:t>na</w:t>
      </w:r>
      <w:r w:rsidR="009037EC">
        <w:rPr>
          <w:rFonts w:cs="Arial"/>
          <w:sz w:val="24"/>
          <w:szCs w:val="24"/>
        </w:rPr>
        <w:t>ncieros</w:t>
      </w:r>
      <w:r w:rsidR="00097174">
        <w:rPr>
          <w:rFonts w:cs="Arial"/>
          <w:sz w:val="24"/>
          <w:szCs w:val="24"/>
        </w:rPr>
        <w:t xml:space="preserve"> que se presenten en los actos de entrega y apertura de </w:t>
      </w:r>
      <w:r w:rsidR="00BF5036">
        <w:rPr>
          <w:rFonts w:cs="Arial"/>
          <w:sz w:val="24"/>
          <w:szCs w:val="24"/>
        </w:rPr>
        <w:t>propuestas, y</w:t>
      </w:r>
      <w:r w:rsidR="00097174" w:rsidRPr="00097174">
        <w:rPr>
          <w:rFonts w:cs="Arial"/>
          <w:sz w:val="24"/>
          <w:szCs w:val="24"/>
          <w:lang w:val="es-ES_tradnl"/>
        </w:rPr>
        <w:t xml:space="preserve"> en los casos </w:t>
      </w:r>
      <w:r w:rsidR="00097174">
        <w:rPr>
          <w:rFonts w:cs="Arial"/>
          <w:sz w:val="24"/>
          <w:szCs w:val="24"/>
          <w:lang w:val="es-ES_tradnl"/>
        </w:rPr>
        <w:t>previstos en los presentes lineamientos</w:t>
      </w:r>
      <w:r w:rsidRPr="00423D59">
        <w:rPr>
          <w:rFonts w:cs="Arial"/>
          <w:sz w:val="24"/>
          <w:szCs w:val="24"/>
        </w:rPr>
        <w:t>.</w:t>
      </w:r>
    </w:p>
    <w:p w:rsidR="00BB4618" w:rsidRPr="00E53B09" w:rsidRDefault="007B0A48" w:rsidP="00E53B09">
      <w:pPr>
        <w:rPr>
          <w:rFonts w:ascii="Arial" w:hAnsi="Arial" w:cs="Arial"/>
          <w:b/>
          <w:noProof/>
          <w:color w:val="00863D"/>
          <w:lang w:eastAsia="es-MX"/>
        </w:rPr>
      </w:pPr>
      <w:r>
        <w:rPr>
          <w:rFonts w:ascii="Arial" w:hAnsi="Arial" w:cs="Arial"/>
        </w:rPr>
        <w:br w:type="page"/>
      </w:r>
      <w:r w:rsidR="00BB4618" w:rsidRPr="00E53B09">
        <w:rPr>
          <w:rFonts w:ascii="Arial" w:hAnsi="Arial" w:cs="Arial"/>
          <w:b/>
          <w:noProof/>
          <w:color w:val="00863D"/>
          <w:lang w:eastAsia="es-MX"/>
        </w:rPr>
        <w:lastRenderedPageBreak/>
        <w:t>MARC</w:t>
      </w:r>
      <w:r w:rsidR="007A6A16" w:rsidRPr="00E53B09">
        <w:rPr>
          <w:rFonts w:ascii="Arial" w:hAnsi="Arial" w:cs="Arial"/>
          <w:b/>
          <w:noProof/>
          <w:color w:val="00863D"/>
          <w:lang w:eastAsia="es-MX"/>
        </w:rPr>
        <w:t>O JURÍDICO</w:t>
      </w:r>
      <w:r w:rsidR="0059207B" w:rsidRPr="00E53B09">
        <w:rPr>
          <w:rFonts w:ascii="Arial" w:hAnsi="Arial" w:cs="Arial"/>
          <w:b/>
          <w:noProof/>
          <w:color w:val="00863D"/>
          <w:lang w:eastAsia="es-MX"/>
        </w:rPr>
        <w:t>____________________________________</w:t>
      </w:r>
      <w:r w:rsidR="00E53B09">
        <w:rPr>
          <w:rFonts w:ascii="Arial" w:hAnsi="Arial" w:cs="Arial"/>
          <w:b/>
          <w:noProof/>
          <w:color w:val="00863D"/>
          <w:lang w:eastAsia="es-MX"/>
        </w:rPr>
        <w:t>____</w:t>
      </w:r>
      <w:r w:rsidR="0059207B" w:rsidRPr="00E53B09">
        <w:rPr>
          <w:rFonts w:ascii="Arial" w:hAnsi="Arial" w:cs="Arial"/>
          <w:b/>
          <w:noProof/>
          <w:color w:val="00863D"/>
          <w:lang w:eastAsia="es-MX"/>
        </w:rPr>
        <w:t>______________</w:t>
      </w:r>
    </w:p>
    <w:p w:rsidR="002A610C" w:rsidRPr="00490C22" w:rsidRDefault="002A610C" w:rsidP="002A610C">
      <w:pPr>
        <w:spacing w:line="360" w:lineRule="auto"/>
        <w:ind w:right="48"/>
        <w:jc w:val="both"/>
        <w:rPr>
          <w:rFonts w:ascii="Arial" w:hAnsi="Arial" w:cs="Arial"/>
          <w:noProof/>
          <w:lang w:eastAsia="es-MX"/>
        </w:rPr>
      </w:pP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Constitución Política de los Estados Unidos Mexicanos,</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Ley Orgánica del Poder Judicial de la Federación,</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Ley Federal de Responsabilidades Administrativas de los Servidores Públicos,</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Ley del Impuesto Sobre la Renta y su Reglamento,</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Ley de Sociedades Mercantiles,</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Código Fiscal de la Federación y su Reglamento,</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Reglamento Interno del Tribunal Electoral del Poder Judicial de la Federación,</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Resolución Miscelánea Fiscal, para el ejercicio fiscal en curso,</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Acuerdo General que regula los procedimientos de adquisición, arrendamiento de bienes muebles, prestación de servicios, obra pública y los servicios relacionados con la misma, del Tribunal Electoral del Poder Judicial de la Federación,</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 xml:space="preserve">Bases de la Licitación Pública Nacional </w:t>
      </w:r>
      <w:proofErr w:type="spellStart"/>
      <w:r>
        <w:rPr>
          <w:rFonts w:cs="Arial"/>
          <w:sz w:val="24"/>
          <w:szCs w:val="24"/>
        </w:rPr>
        <w:t>ó</w:t>
      </w:r>
      <w:proofErr w:type="spellEnd"/>
      <w:r>
        <w:rPr>
          <w:rFonts w:cs="Arial"/>
          <w:sz w:val="24"/>
          <w:szCs w:val="24"/>
        </w:rPr>
        <w:t xml:space="preserve"> Invitación a Cuando menos Tres Proveedores </w:t>
      </w:r>
      <w:proofErr w:type="spellStart"/>
      <w:r>
        <w:rPr>
          <w:rFonts w:cs="Arial"/>
          <w:sz w:val="24"/>
          <w:szCs w:val="24"/>
        </w:rPr>
        <w:t>ó</w:t>
      </w:r>
      <w:proofErr w:type="spellEnd"/>
      <w:r>
        <w:rPr>
          <w:rFonts w:cs="Arial"/>
          <w:sz w:val="24"/>
          <w:szCs w:val="24"/>
        </w:rPr>
        <w:t xml:space="preserve"> Contratistas</w:t>
      </w:r>
      <w:r w:rsidRPr="001666D3">
        <w:rPr>
          <w:rFonts w:cs="Arial"/>
          <w:sz w:val="24"/>
          <w:szCs w:val="24"/>
        </w:rPr>
        <w:t xml:space="preserve">, </w:t>
      </w:r>
      <w:r>
        <w:rPr>
          <w:rFonts w:cs="Arial"/>
          <w:sz w:val="24"/>
          <w:szCs w:val="24"/>
        </w:rPr>
        <w:t xml:space="preserve">correspondientes, </w:t>
      </w:r>
      <w:r w:rsidRPr="001666D3">
        <w:rPr>
          <w:rFonts w:cs="Arial"/>
          <w:sz w:val="24"/>
          <w:szCs w:val="24"/>
        </w:rPr>
        <w:t>y</w:t>
      </w:r>
    </w:p>
    <w:p w:rsidR="001666D3" w:rsidRPr="001666D3" w:rsidRDefault="001666D3" w:rsidP="003A5FB6">
      <w:pPr>
        <w:pStyle w:val="Textoindependiente"/>
        <w:numPr>
          <w:ilvl w:val="0"/>
          <w:numId w:val="1"/>
        </w:numPr>
        <w:spacing w:before="120" w:after="120" w:line="360" w:lineRule="auto"/>
        <w:ind w:left="567" w:hanging="425"/>
        <w:jc w:val="both"/>
        <w:rPr>
          <w:rFonts w:cs="Arial"/>
          <w:sz w:val="24"/>
          <w:szCs w:val="24"/>
        </w:rPr>
      </w:pPr>
      <w:r w:rsidRPr="001666D3">
        <w:rPr>
          <w:rFonts w:cs="Arial"/>
          <w:sz w:val="24"/>
          <w:szCs w:val="24"/>
        </w:rPr>
        <w:t>Normas de Información Financiera, Boletines, y Circulares de la Comisión de Principios de Contabilidad del Instituto Mexicano de Contadores Públicos.</w:t>
      </w:r>
    </w:p>
    <w:p w:rsidR="008104EE" w:rsidRDefault="008104EE" w:rsidP="008104EE">
      <w:pPr>
        <w:rPr>
          <w:rFonts w:ascii="Arial" w:hAnsi="Arial" w:cs="Arial"/>
        </w:rPr>
        <w:sectPr w:rsidR="008104EE" w:rsidSect="00461F4D">
          <w:pgSz w:w="12240" w:h="15840"/>
          <w:pgMar w:top="709" w:right="1418" w:bottom="851" w:left="1418" w:header="284" w:footer="567" w:gutter="0"/>
          <w:pgNumType w:start="3"/>
          <w:cols w:space="708"/>
          <w:docGrid w:linePitch="326"/>
        </w:sectPr>
      </w:pPr>
      <w:r>
        <w:rPr>
          <w:rFonts w:ascii="Arial" w:hAnsi="Arial" w:cs="Arial"/>
        </w:rPr>
        <w:br w:type="page"/>
      </w:r>
    </w:p>
    <w:p w:rsidR="00BB4618" w:rsidRPr="00E53B09" w:rsidRDefault="00C15896" w:rsidP="00E53B09">
      <w:pPr>
        <w:ind w:right="48"/>
        <w:rPr>
          <w:rFonts w:ascii="Arial" w:hAnsi="Arial" w:cs="Arial"/>
          <w:b/>
          <w:noProof/>
          <w:color w:val="00863D"/>
          <w:lang w:eastAsia="es-MX"/>
        </w:rPr>
      </w:pPr>
      <w:r w:rsidRPr="00E53B09">
        <w:rPr>
          <w:rFonts w:ascii="Arial" w:hAnsi="Arial" w:cs="Arial"/>
          <w:b/>
          <w:noProof/>
          <w:color w:val="00863D"/>
          <w:lang w:eastAsia="es-MX"/>
        </w:rPr>
        <w:lastRenderedPageBreak/>
        <w:t>CON</w:t>
      </w:r>
      <w:r w:rsidR="00E53B09">
        <w:rPr>
          <w:rFonts w:ascii="Arial" w:hAnsi="Arial" w:cs="Arial"/>
          <w:b/>
          <w:noProof/>
          <w:color w:val="00863D"/>
          <w:lang w:eastAsia="es-MX"/>
        </w:rPr>
        <w:t>TENIDO__________</w:t>
      </w:r>
      <w:r w:rsidR="00E84B82" w:rsidRPr="00E53B09">
        <w:rPr>
          <w:rFonts w:ascii="Arial" w:hAnsi="Arial" w:cs="Arial"/>
          <w:b/>
          <w:noProof/>
          <w:color w:val="00863D"/>
          <w:lang w:eastAsia="es-MX"/>
        </w:rPr>
        <w:t>_________________________________________________</w:t>
      </w:r>
    </w:p>
    <w:p w:rsidR="00FB2664" w:rsidRPr="00490C22" w:rsidRDefault="00FB2664" w:rsidP="00490C22">
      <w:pPr>
        <w:spacing w:line="360" w:lineRule="auto"/>
        <w:ind w:right="48"/>
        <w:jc w:val="both"/>
        <w:rPr>
          <w:rFonts w:ascii="Arial" w:hAnsi="Arial" w:cs="Arial"/>
          <w:noProof/>
          <w:lang w:eastAsia="es-MX"/>
        </w:rPr>
      </w:pPr>
    </w:p>
    <w:p w:rsidR="008104EE" w:rsidRPr="00900B5A" w:rsidRDefault="008104EE" w:rsidP="003A5FB6">
      <w:pPr>
        <w:pStyle w:val="Prrafodelista"/>
        <w:numPr>
          <w:ilvl w:val="3"/>
          <w:numId w:val="11"/>
        </w:numPr>
        <w:spacing w:line="384" w:lineRule="auto"/>
        <w:ind w:left="567" w:right="45" w:hanging="567"/>
        <w:jc w:val="both"/>
        <w:rPr>
          <w:rFonts w:ascii="Arial" w:hAnsi="Arial" w:cs="Arial"/>
          <w:noProof/>
          <w:color w:val="000000"/>
          <w:lang w:eastAsia="es-MX"/>
        </w:rPr>
      </w:pPr>
      <w:r w:rsidRPr="00900B5A">
        <w:rPr>
          <w:rFonts w:ascii="Arial" w:hAnsi="Arial" w:cs="Arial"/>
          <w:b/>
          <w:noProof/>
          <w:color w:val="000000"/>
          <w:lang w:eastAsia="es-MX"/>
        </w:rPr>
        <w:t>Ámbito de Aplicación</w:t>
      </w:r>
    </w:p>
    <w:p w:rsidR="003C0215" w:rsidRDefault="003C0215" w:rsidP="002054B1">
      <w:pPr>
        <w:pStyle w:val="Textoindependiente"/>
        <w:numPr>
          <w:ilvl w:val="0"/>
          <w:numId w:val="13"/>
        </w:numPr>
        <w:tabs>
          <w:tab w:val="left" w:pos="900"/>
        </w:tabs>
        <w:spacing w:before="120" w:after="120" w:line="360" w:lineRule="auto"/>
        <w:jc w:val="both"/>
        <w:rPr>
          <w:rFonts w:cs="Arial"/>
          <w:sz w:val="24"/>
          <w:szCs w:val="24"/>
        </w:rPr>
      </w:pPr>
      <w:r w:rsidRPr="00FB16BB">
        <w:rPr>
          <w:rFonts w:cs="Arial"/>
          <w:sz w:val="24"/>
          <w:szCs w:val="24"/>
        </w:rPr>
        <w:t>Los presentes Lineamientos para la elaboración del dictamen resolutivo financiero</w:t>
      </w:r>
      <w:r>
        <w:rPr>
          <w:rFonts w:cs="Arial"/>
          <w:sz w:val="24"/>
          <w:szCs w:val="24"/>
        </w:rPr>
        <w:t>,</w:t>
      </w:r>
      <w:r w:rsidRPr="00FB16BB">
        <w:rPr>
          <w:rFonts w:cs="Arial"/>
          <w:sz w:val="24"/>
          <w:szCs w:val="24"/>
        </w:rPr>
        <w:t xml:space="preserve"> son de observancia obligatoria para</w:t>
      </w:r>
      <w:r>
        <w:rPr>
          <w:rFonts w:cs="Arial"/>
          <w:sz w:val="24"/>
          <w:szCs w:val="24"/>
        </w:rPr>
        <w:t xml:space="preserve">: </w:t>
      </w:r>
      <w:r w:rsidR="00F45D66">
        <w:rPr>
          <w:rFonts w:cs="Arial"/>
          <w:sz w:val="24"/>
          <w:szCs w:val="24"/>
        </w:rPr>
        <w:t>l</w:t>
      </w:r>
      <w:r w:rsidRPr="00FB16BB">
        <w:rPr>
          <w:rFonts w:cs="Arial"/>
          <w:sz w:val="24"/>
          <w:szCs w:val="24"/>
        </w:rPr>
        <w:t>a Coordinación Financiera;</w:t>
      </w:r>
      <w:r>
        <w:rPr>
          <w:rFonts w:cs="Arial"/>
          <w:sz w:val="24"/>
          <w:szCs w:val="24"/>
        </w:rPr>
        <w:t xml:space="preserve"> </w:t>
      </w:r>
      <w:r w:rsidRPr="00FB16BB">
        <w:rPr>
          <w:rFonts w:cs="Arial"/>
          <w:sz w:val="24"/>
          <w:szCs w:val="24"/>
        </w:rPr>
        <w:t>Coordinación de Adquisiciones, Servicios y Obra Pública;</w:t>
      </w:r>
      <w:r>
        <w:rPr>
          <w:rFonts w:cs="Arial"/>
          <w:sz w:val="24"/>
          <w:szCs w:val="24"/>
        </w:rPr>
        <w:t xml:space="preserve"> </w:t>
      </w:r>
      <w:r w:rsidRPr="00FB16BB">
        <w:rPr>
          <w:rFonts w:cs="Arial"/>
          <w:sz w:val="24"/>
          <w:szCs w:val="24"/>
        </w:rPr>
        <w:t>Dirección General de Recursos Materiales;</w:t>
      </w:r>
      <w:r>
        <w:rPr>
          <w:rFonts w:cs="Arial"/>
          <w:sz w:val="24"/>
          <w:szCs w:val="24"/>
        </w:rPr>
        <w:t xml:space="preserve"> </w:t>
      </w:r>
      <w:r w:rsidRPr="00FB16BB">
        <w:rPr>
          <w:rFonts w:cs="Arial"/>
          <w:sz w:val="24"/>
          <w:szCs w:val="24"/>
        </w:rPr>
        <w:t>Jefatura de Unidad de Control de Obras y Conservación; y</w:t>
      </w:r>
      <w:r>
        <w:rPr>
          <w:rFonts w:cs="Arial"/>
          <w:sz w:val="24"/>
          <w:szCs w:val="24"/>
        </w:rPr>
        <w:t xml:space="preserve"> d</w:t>
      </w:r>
      <w:r w:rsidRPr="00FB16BB">
        <w:rPr>
          <w:rFonts w:cs="Arial"/>
          <w:sz w:val="24"/>
          <w:szCs w:val="24"/>
        </w:rPr>
        <w:t xml:space="preserve">emás usuarios internos y externos que participen en </w:t>
      </w:r>
      <w:r w:rsidR="00F45D66">
        <w:rPr>
          <w:rFonts w:cs="Arial"/>
          <w:sz w:val="24"/>
          <w:szCs w:val="24"/>
        </w:rPr>
        <w:t xml:space="preserve">los </w:t>
      </w:r>
      <w:r w:rsidRPr="00FB16BB">
        <w:rPr>
          <w:rFonts w:cs="Arial"/>
          <w:sz w:val="24"/>
          <w:szCs w:val="24"/>
        </w:rPr>
        <w:t>procedimiento</w:t>
      </w:r>
      <w:r w:rsidR="00F45D66">
        <w:rPr>
          <w:rFonts w:cs="Arial"/>
          <w:sz w:val="24"/>
          <w:szCs w:val="24"/>
        </w:rPr>
        <w:t>s</w:t>
      </w:r>
      <w:r w:rsidRPr="00FB16BB">
        <w:rPr>
          <w:rFonts w:cs="Arial"/>
          <w:sz w:val="24"/>
          <w:szCs w:val="24"/>
        </w:rPr>
        <w:t xml:space="preserve"> de Licitación Pública Nacional e Invitación a cuando menos </w:t>
      </w:r>
      <w:r w:rsidR="00F45D66">
        <w:rPr>
          <w:rFonts w:cs="Arial"/>
          <w:sz w:val="24"/>
          <w:szCs w:val="24"/>
        </w:rPr>
        <w:t>T</w:t>
      </w:r>
      <w:r w:rsidRPr="00FB16BB">
        <w:rPr>
          <w:rFonts w:cs="Arial"/>
          <w:sz w:val="24"/>
          <w:szCs w:val="24"/>
        </w:rPr>
        <w:t xml:space="preserve">res </w:t>
      </w:r>
      <w:r w:rsidR="00F45D66">
        <w:rPr>
          <w:rFonts w:cs="Arial"/>
          <w:sz w:val="24"/>
          <w:szCs w:val="24"/>
        </w:rPr>
        <w:t>P</w:t>
      </w:r>
      <w:r w:rsidRPr="00FB16BB">
        <w:rPr>
          <w:rFonts w:cs="Arial"/>
          <w:sz w:val="24"/>
          <w:szCs w:val="24"/>
        </w:rPr>
        <w:t xml:space="preserve">roveedores o </w:t>
      </w:r>
      <w:r w:rsidR="00F45D66">
        <w:rPr>
          <w:rFonts w:cs="Arial"/>
          <w:sz w:val="24"/>
          <w:szCs w:val="24"/>
        </w:rPr>
        <w:t>C</w:t>
      </w:r>
      <w:r w:rsidRPr="00FB16BB">
        <w:rPr>
          <w:rFonts w:cs="Arial"/>
          <w:sz w:val="24"/>
          <w:szCs w:val="24"/>
        </w:rPr>
        <w:t xml:space="preserve">ontratistas, referidos en el artículo </w:t>
      </w:r>
      <w:r>
        <w:rPr>
          <w:rFonts w:cs="Arial"/>
          <w:sz w:val="24"/>
          <w:szCs w:val="24"/>
        </w:rPr>
        <w:t>40</w:t>
      </w:r>
      <w:r w:rsidRPr="00FB16BB">
        <w:rPr>
          <w:rFonts w:cs="Arial"/>
          <w:sz w:val="24"/>
          <w:szCs w:val="24"/>
        </w:rPr>
        <w:t xml:space="preserve"> del Acuerdo Genera</w:t>
      </w:r>
      <w:r>
        <w:rPr>
          <w:rFonts w:cs="Arial"/>
          <w:sz w:val="24"/>
          <w:szCs w:val="24"/>
        </w:rPr>
        <w:t>l.</w:t>
      </w:r>
    </w:p>
    <w:p w:rsidR="003C0215" w:rsidRPr="00490C22" w:rsidRDefault="003C0215" w:rsidP="00490C22">
      <w:pPr>
        <w:spacing w:line="360" w:lineRule="auto"/>
        <w:ind w:right="48"/>
        <w:jc w:val="both"/>
        <w:rPr>
          <w:rFonts w:ascii="Arial" w:hAnsi="Arial" w:cs="Arial"/>
          <w:noProof/>
          <w:lang w:eastAsia="es-MX"/>
        </w:rPr>
      </w:pPr>
    </w:p>
    <w:p w:rsidR="008104EE" w:rsidRPr="00900B5A" w:rsidRDefault="008104EE" w:rsidP="003A5FB6">
      <w:pPr>
        <w:pStyle w:val="Prrafodelista"/>
        <w:numPr>
          <w:ilvl w:val="3"/>
          <w:numId w:val="11"/>
        </w:numPr>
        <w:spacing w:line="384" w:lineRule="auto"/>
        <w:ind w:left="567" w:right="45" w:hanging="567"/>
        <w:jc w:val="both"/>
        <w:rPr>
          <w:rFonts w:ascii="Arial" w:hAnsi="Arial" w:cs="Arial"/>
          <w:noProof/>
          <w:color w:val="000000"/>
          <w:lang w:eastAsia="es-MX"/>
        </w:rPr>
      </w:pPr>
      <w:r w:rsidRPr="00900B5A">
        <w:rPr>
          <w:rFonts w:ascii="Arial" w:hAnsi="Arial" w:cs="Arial"/>
          <w:b/>
          <w:noProof/>
          <w:color w:val="000000"/>
          <w:lang w:eastAsia="es-MX"/>
        </w:rPr>
        <w:t>Definiciones.</w:t>
      </w:r>
    </w:p>
    <w:p w:rsidR="003C0215" w:rsidRPr="00452568" w:rsidRDefault="003C0215" w:rsidP="002054B1">
      <w:pPr>
        <w:pStyle w:val="Textoindependiente"/>
        <w:numPr>
          <w:ilvl w:val="0"/>
          <w:numId w:val="13"/>
        </w:numPr>
        <w:tabs>
          <w:tab w:val="left" w:pos="900"/>
        </w:tabs>
        <w:spacing w:before="120" w:after="120" w:line="360" w:lineRule="auto"/>
        <w:jc w:val="both"/>
        <w:rPr>
          <w:rFonts w:cs="Arial"/>
          <w:sz w:val="24"/>
          <w:szCs w:val="24"/>
        </w:rPr>
      </w:pPr>
      <w:r w:rsidRPr="00452568">
        <w:rPr>
          <w:rFonts w:cs="Arial"/>
          <w:sz w:val="24"/>
          <w:szCs w:val="24"/>
        </w:rPr>
        <w:t>Para los efectos de interpretación y aplicación de los presentes Lineamientos se entenderá por:</w:t>
      </w:r>
    </w:p>
    <w:p w:rsidR="003C0215" w:rsidRPr="009403D7" w:rsidRDefault="003C0215" w:rsidP="003C0215">
      <w:pPr>
        <w:pStyle w:val="Textoindependiente"/>
        <w:spacing w:before="120" w:after="120" w:line="360" w:lineRule="auto"/>
        <w:jc w:val="both"/>
        <w:rPr>
          <w:rFonts w:cs="Arial"/>
          <w:sz w:val="24"/>
          <w:szCs w:val="24"/>
        </w:rPr>
      </w:pPr>
      <w:r w:rsidRPr="00D8223F">
        <w:rPr>
          <w:rFonts w:cs="Arial"/>
          <w:b/>
          <w:sz w:val="24"/>
          <w:szCs w:val="24"/>
        </w:rPr>
        <w:t>Acuerdo General</w:t>
      </w:r>
      <w:r w:rsidRPr="009403D7">
        <w:rPr>
          <w:rFonts w:cs="Arial"/>
          <w:sz w:val="24"/>
          <w:szCs w:val="24"/>
        </w:rPr>
        <w:t xml:space="preserve">: </w:t>
      </w:r>
      <w:r w:rsidRPr="00423D59">
        <w:rPr>
          <w:rFonts w:cs="Arial"/>
          <w:sz w:val="24"/>
          <w:szCs w:val="24"/>
        </w:rPr>
        <w:t xml:space="preserve">Acuerdo general que </w:t>
      </w:r>
      <w:r>
        <w:rPr>
          <w:rFonts w:cs="Arial"/>
          <w:sz w:val="24"/>
          <w:szCs w:val="24"/>
        </w:rPr>
        <w:t>regula los procedimientos de adquisición, arrendamiento de bienes muebles, prestación de servicios, obra pública y los servicios relacionados con la misma, del Tribunal Electoral del Poder Judicial de la Federación</w:t>
      </w:r>
      <w:r w:rsidRPr="009403D7">
        <w:rPr>
          <w:rFonts w:cs="Arial"/>
          <w:sz w:val="24"/>
          <w:szCs w:val="24"/>
        </w:rPr>
        <w:t>.</w:t>
      </w:r>
    </w:p>
    <w:p w:rsidR="003C0215" w:rsidRPr="009403D7" w:rsidRDefault="003C0215" w:rsidP="003C0215">
      <w:pPr>
        <w:pStyle w:val="Textoindependiente"/>
        <w:spacing w:before="120" w:after="120" w:line="360" w:lineRule="auto"/>
        <w:jc w:val="both"/>
        <w:rPr>
          <w:rFonts w:cs="Arial"/>
          <w:sz w:val="24"/>
          <w:szCs w:val="24"/>
        </w:rPr>
      </w:pPr>
      <w:r w:rsidRPr="00D8223F">
        <w:rPr>
          <w:rFonts w:cs="Arial"/>
          <w:b/>
          <w:sz w:val="24"/>
          <w:szCs w:val="24"/>
        </w:rPr>
        <w:t>Comité</w:t>
      </w:r>
      <w:r w:rsidRPr="009403D7">
        <w:rPr>
          <w:rFonts w:cs="Arial"/>
          <w:sz w:val="24"/>
          <w:szCs w:val="24"/>
        </w:rPr>
        <w:t>: Comité de Adquisiciones,</w:t>
      </w:r>
      <w:r>
        <w:rPr>
          <w:rFonts w:cs="Arial"/>
          <w:sz w:val="24"/>
          <w:szCs w:val="24"/>
        </w:rPr>
        <w:t xml:space="preserve"> Arrendamientos, Prestación de S</w:t>
      </w:r>
      <w:r w:rsidRPr="009403D7">
        <w:rPr>
          <w:rFonts w:cs="Arial"/>
          <w:sz w:val="24"/>
          <w:szCs w:val="24"/>
        </w:rPr>
        <w:t>ervicios y Obra Pública</w:t>
      </w:r>
      <w:r>
        <w:rPr>
          <w:rFonts w:cs="Arial"/>
          <w:sz w:val="24"/>
          <w:szCs w:val="24"/>
        </w:rPr>
        <w:t xml:space="preserve"> del Tribunal Electoral del Poder Judicial de la Federación.</w:t>
      </w:r>
    </w:p>
    <w:p w:rsidR="003C0215" w:rsidRDefault="003C0215" w:rsidP="003C0215">
      <w:pPr>
        <w:pStyle w:val="Textoindependiente"/>
        <w:spacing w:before="120" w:after="120" w:line="360" w:lineRule="auto"/>
        <w:jc w:val="both"/>
        <w:rPr>
          <w:rFonts w:cs="Arial"/>
          <w:sz w:val="24"/>
          <w:szCs w:val="24"/>
        </w:rPr>
      </w:pPr>
      <w:r w:rsidRPr="00D8223F">
        <w:rPr>
          <w:rFonts w:cs="Arial"/>
          <w:b/>
          <w:sz w:val="24"/>
          <w:szCs w:val="24"/>
        </w:rPr>
        <w:t>Contratista</w:t>
      </w:r>
      <w:r w:rsidRPr="009403D7">
        <w:rPr>
          <w:rFonts w:cs="Arial"/>
          <w:sz w:val="24"/>
          <w:szCs w:val="24"/>
        </w:rPr>
        <w:t>: La persona física o moral con la que se celebren contratos de obra pública, de servicios relacionados con la misma</w:t>
      </w:r>
      <w:r w:rsidR="000938FC">
        <w:rPr>
          <w:rFonts w:cs="Arial"/>
          <w:sz w:val="24"/>
          <w:szCs w:val="24"/>
        </w:rPr>
        <w:t xml:space="preserve"> o de cualquier naturaleza</w:t>
      </w:r>
      <w:r>
        <w:rPr>
          <w:rFonts w:cs="Arial"/>
          <w:sz w:val="24"/>
          <w:szCs w:val="24"/>
        </w:rPr>
        <w:t>, según corresponda.</w:t>
      </w:r>
    </w:p>
    <w:p w:rsidR="003C0215" w:rsidRDefault="003C0215" w:rsidP="003C0215">
      <w:pPr>
        <w:pStyle w:val="Textoindependiente"/>
        <w:spacing w:before="120" w:after="120" w:line="360" w:lineRule="auto"/>
        <w:jc w:val="both"/>
        <w:rPr>
          <w:rFonts w:cs="Arial"/>
          <w:sz w:val="24"/>
          <w:szCs w:val="24"/>
        </w:rPr>
      </w:pPr>
      <w:r w:rsidRPr="001A03A5">
        <w:rPr>
          <w:rFonts w:cs="Arial"/>
          <w:b/>
          <w:sz w:val="24"/>
          <w:szCs w:val="24"/>
        </w:rPr>
        <w:t>Coordinación Financiera:</w:t>
      </w:r>
      <w:r>
        <w:rPr>
          <w:rFonts w:cs="Arial"/>
          <w:sz w:val="24"/>
          <w:szCs w:val="24"/>
        </w:rPr>
        <w:t xml:space="preserve"> </w:t>
      </w:r>
      <w:r w:rsidRPr="0056676F">
        <w:rPr>
          <w:rFonts w:cs="Arial"/>
          <w:sz w:val="24"/>
          <w:szCs w:val="24"/>
        </w:rPr>
        <w:t>Coordinación Financiera</w:t>
      </w:r>
      <w:r w:rsidR="003D4696">
        <w:rPr>
          <w:rFonts w:cs="Arial"/>
          <w:sz w:val="24"/>
          <w:szCs w:val="24"/>
        </w:rPr>
        <w:t xml:space="preserve"> </w:t>
      </w:r>
      <w:r w:rsidRPr="0056676F">
        <w:rPr>
          <w:rFonts w:cs="Arial"/>
          <w:sz w:val="24"/>
          <w:szCs w:val="24"/>
        </w:rPr>
        <w:t>del Tribunal Electoral del Poder Judicial de la Federación.</w:t>
      </w:r>
    </w:p>
    <w:p w:rsidR="003C0215" w:rsidRDefault="003C0215" w:rsidP="003C0215">
      <w:pPr>
        <w:pStyle w:val="Textoindependiente"/>
        <w:spacing w:before="120" w:after="120" w:line="360" w:lineRule="auto"/>
        <w:jc w:val="both"/>
        <w:rPr>
          <w:rFonts w:cs="Arial"/>
          <w:sz w:val="24"/>
          <w:szCs w:val="24"/>
        </w:rPr>
      </w:pPr>
      <w:r w:rsidRPr="00085FD3">
        <w:rPr>
          <w:rFonts w:cs="Arial"/>
          <w:b/>
          <w:sz w:val="24"/>
          <w:szCs w:val="24"/>
        </w:rPr>
        <w:t>Estado</w:t>
      </w:r>
      <w:r w:rsidR="00F45D66">
        <w:rPr>
          <w:rFonts w:cs="Arial"/>
          <w:b/>
          <w:sz w:val="24"/>
          <w:szCs w:val="24"/>
        </w:rPr>
        <w:t>s</w:t>
      </w:r>
      <w:r w:rsidRPr="00085FD3">
        <w:rPr>
          <w:rFonts w:cs="Arial"/>
          <w:b/>
          <w:sz w:val="24"/>
          <w:szCs w:val="24"/>
        </w:rPr>
        <w:t xml:space="preserve"> financieros básicos:</w:t>
      </w:r>
      <w:r>
        <w:rPr>
          <w:rFonts w:cs="Arial"/>
          <w:b/>
          <w:sz w:val="24"/>
          <w:szCs w:val="24"/>
        </w:rPr>
        <w:t xml:space="preserve"> </w:t>
      </w:r>
      <w:r w:rsidRPr="00642800">
        <w:rPr>
          <w:rFonts w:cs="Arial"/>
          <w:sz w:val="24"/>
          <w:szCs w:val="24"/>
        </w:rPr>
        <w:t xml:space="preserve">Balance </w:t>
      </w:r>
      <w:r w:rsidR="00F45D66">
        <w:rPr>
          <w:rFonts w:cs="Arial"/>
          <w:sz w:val="24"/>
          <w:szCs w:val="24"/>
        </w:rPr>
        <w:t>G</w:t>
      </w:r>
      <w:r w:rsidRPr="00642800">
        <w:rPr>
          <w:rFonts w:cs="Arial"/>
          <w:sz w:val="24"/>
          <w:szCs w:val="24"/>
        </w:rPr>
        <w:t xml:space="preserve">eneral, también llamado </w:t>
      </w:r>
      <w:r w:rsidR="00F45D66">
        <w:rPr>
          <w:rFonts w:cs="Arial"/>
          <w:sz w:val="24"/>
          <w:szCs w:val="24"/>
        </w:rPr>
        <w:t>E</w:t>
      </w:r>
      <w:r w:rsidRPr="00642800">
        <w:rPr>
          <w:rFonts w:cs="Arial"/>
          <w:sz w:val="24"/>
          <w:szCs w:val="24"/>
        </w:rPr>
        <w:t xml:space="preserve">stado de </w:t>
      </w:r>
      <w:r w:rsidR="00F45D66">
        <w:rPr>
          <w:rFonts w:cs="Arial"/>
          <w:sz w:val="24"/>
          <w:szCs w:val="24"/>
        </w:rPr>
        <w:t>S</w:t>
      </w:r>
      <w:r w:rsidRPr="00642800">
        <w:rPr>
          <w:rFonts w:cs="Arial"/>
          <w:sz w:val="24"/>
          <w:szCs w:val="24"/>
        </w:rPr>
        <w:t xml:space="preserve">ituación </w:t>
      </w:r>
      <w:r w:rsidR="00F45D66">
        <w:rPr>
          <w:rFonts w:cs="Arial"/>
          <w:sz w:val="24"/>
          <w:szCs w:val="24"/>
        </w:rPr>
        <w:t>F</w:t>
      </w:r>
      <w:r w:rsidRPr="00642800">
        <w:rPr>
          <w:rFonts w:cs="Arial"/>
          <w:sz w:val="24"/>
          <w:szCs w:val="24"/>
        </w:rPr>
        <w:t xml:space="preserve">inanciera o </w:t>
      </w:r>
      <w:r w:rsidR="00F45D66">
        <w:rPr>
          <w:rFonts w:cs="Arial"/>
          <w:sz w:val="24"/>
          <w:szCs w:val="24"/>
        </w:rPr>
        <w:t>E</w:t>
      </w:r>
      <w:r w:rsidRPr="00642800">
        <w:rPr>
          <w:rFonts w:cs="Arial"/>
          <w:sz w:val="24"/>
          <w:szCs w:val="24"/>
        </w:rPr>
        <w:t xml:space="preserve">stado de </w:t>
      </w:r>
      <w:r w:rsidR="00F45D66">
        <w:rPr>
          <w:rFonts w:cs="Arial"/>
          <w:sz w:val="24"/>
          <w:szCs w:val="24"/>
        </w:rPr>
        <w:t>P</w:t>
      </w:r>
      <w:r w:rsidRPr="00642800">
        <w:rPr>
          <w:rFonts w:cs="Arial"/>
          <w:sz w:val="24"/>
          <w:szCs w:val="24"/>
        </w:rPr>
        <w:t xml:space="preserve">osición </w:t>
      </w:r>
      <w:r w:rsidR="00F45D66">
        <w:rPr>
          <w:rFonts w:cs="Arial"/>
          <w:sz w:val="24"/>
          <w:szCs w:val="24"/>
        </w:rPr>
        <w:t>F</w:t>
      </w:r>
      <w:r w:rsidRPr="00642800">
        <w:rPr>
          <w:rFonts w:cs="Arial"/>
          <w:sz w:val="24"/>
          <w:szCs w:val="24"/>
        </w:rPr>
        <w:t>inanciera</w:t>
      </w:r>
      <w:r>
        <w:rPr>
          <w:rFonts w:cs="Arial"/>
          <w:b/>
          <w:sz w:val="24"/>
          <w:szCs w:val="24"/>
        </w:rPr>
        <w:t xml:space="preserve"> </w:t>
      </w:r>
      <w:r w:rsidRPr="005C6F78">
        <w:rPr>
          <w:rFonts w:cs="Arial"/>
          <w:sz w:val="24"/>
          <w:szCs w:val="24"/>
        </w:rPr>
        <w:t xml:space="preserve">y </w:t>
      </w:r>
      <w:r w:rsidRPr="00642800">
        <w:rPr>
          <w:rFonts w:cs="Arial"/>
          <w:sz w:val="24"/>
          <w:szCs w:val="24"/>
        </w:rPr>
        <w:t xml:space="preserve">Estado de </w:t>
      </w:r>
      <w:r w:rsidR="00F45D66">
        <w:rPr>
          <w:rFonts w:cs="Arial"/>
          <w:sz w:val="24"/>
          <w:szCs w:val="24"/>
        </w:rPr>
        <w:t>R</w:t>
      </w:r>
      <w:r w:rsidRPr="00642800">
        <w:rPr>
          <w:rFonts w:cs="Arial"/>
          <w:sz w:val="24"/>
          <w:szCs w:val="24"/>
        </w:rPr>
        <w:t>esultados,</w:t>
      </w:r>
      <w:r>
        <w:rPr>
          <w:rFonts w:cs="Arial"/>
          <w:sz w:val="24"/>
          <w:szCs w:val="24"/>
        </w:rPr>
        <w:t xml:space="preserve"> y </w:t>
      </w:r>
      <w:r w:rsidR="00F45D66">
        <w:rPr>
          <w:rFonts w:cs="Arial"/>
          <w:sz w:val="24"/>
          <w:szCs w:val="24"/>
        </w:rPr>
        <w:t>en su caso, N</w:t>
      </w:r>
      <w:r>
        <w:rPr>
          <w:rFonts w:cs="Arial"/>
          <w:sz w:val="24"/>
          <w:szCs w:val="24"/>
        </w:rPr>
        <w:t xml:space="preserve">otas a los </w:t>
      </w:r>
      <w:r w:rsidR="00F45D66">
        <w:rPr>
          <w:rFonts w:cs="Arial"/>
          <w:sz w:val="24"/>
          <w:szCs w:val="24"/>
        </w:rPr>
        <w:t>E</w:t>
      </w:r>
      <w:r>
        <w:rPr>
          <w:rFonts w:cs="Arial"/>
          <w:sz w:val="24"/>
          <w:szCs w:val="24"/>
        </w:rPr>
        <w:t xml:space="preserve">stados </w:t>
      </w:r>
      <w:r w:rsidR="00F45D66">
        <w:rPr>
          <w:rFonts w:cs="Arial"/>
          <w:sz w:val="24"/>
          <w:szCs w:val="24"/>
        </w:rPr>
        <w:t>F</w:t>
      </w:r>
      <w:r>
        <w:rPr>
          <w:rFonts w:cs="Arial"/>
          <w:sz w:val="24"/>
          <w:szCs w:val="24"/>
        </w:rPr>
        <w:t>inancieros.</w:t>
      </w:r>
    </w:p>
    <w:p w:rsidR="00490C22" w:rsidRPr="00490C22" w:rsidRDefault="00490C22" w:rsidP="00490C22">
      <w:pPr>
        <w:spacing w:line="360" w:lineRule="auto"/>
        <w:ind w:right="48"/>
        <w:jc w:val="both"/>
        <w:rPr>
          <w:rFonts w:ascii="Arial" w:hAnsi="Arial" w:cs="Arial"/>
          <w:noProof/>
          <w:lang w:eastAsia="es-MX"/>
        </w:rPr>
      </w:pPr>
    </w:p>
    <w:p w:rsidR="00490C22" w:rsidRPr="00490C22" w:rsidRDefault="00490C22" w:rsidP="00490C22">
      <w:pPr>
        <w:spacing w:line="360" w:lineRule="auto"/>
        <w:ind w:right="48"/>
        <w:jc w:val="both"/>
        <w:rPr>
          <w:rFonts w:ascii="Arial" w:hAnsi="Arial" w:cs="Arial"/>
          <w:noProof/>
          <w:lang w:eastAsia="es-MX"/>
        </w:rPr>
      </w:pPr>
    </w:p>
    <w:p w:rsidR="001F559B" w:rsidRDefault="001F559B" w:rsidP="00306292">
      <w:pPr>
        <w:pStyle w:val="Textoindependiente"/>
        <w:spacing w:before="120" w:after="120" w:line="360" w:lineRule="auto"/>
        <w:jc w:val="both"/>
        <w:rPr>
          <w:rFonts w:cs="Arial"/>
          <w:sz w:val="24"/>
          <w:szCs w:val="24"/>
        </w:rPr>
      </w:pPr>
      <w:r w:rsidRPr="001F559B">
        <w:rPr>
          <w:rFonts w:cs="Arial"/>
          <w:b/>
          <w:sz w:val="24"/>
          <w:szCs w:val="24"/>
        </w:rPr>
        <w:t>Liquidez</w:t>
      </w:r>
      <w:r w:rsidRPr="0078239F">
        <w:rPr>
          <w:rStyle w:val="Refdenotaalpie"/>
          <w:rFonts w:cs="Arial"/>
          <w:b/>
          <w:color w:val="C00000"/>
          <w:sz w:val="24"/>
          <w:szCs w:val="24"/>
        </w:rPr>
        <w:footnoteReference w:id="1"/>
      </w:r>
      <w:r w:rsidRPr="001F559B">
        <w:rPr>
          <w:rFonts w:cs="Arial"/>
          <w:b/>
          <w:sz w:val="24"/>
          <w:szCs w:val="24"/>
        </w:rPr>
        <w:t>:</w:t>
      </w:r>
      <w:r>
        <w:rPr>
          <w:rFonts w:cs="Arial"/>
          <w:sz w:val="24"/>
          <w:szCs w:val="24"/>
        </w:rPr>
        <w:t xml:space="preserve"> Se refiere a la disponibilidad de fondos suficientes para satisfacer los compromisos financieros de una entidad a su vencimiento. Lo anterior está asociado a la facilidad con que un activo es convertible en efectivo para una entidad</w:t>
      </w:r>
      <w:r w:rsidR="00C253BB">
        <w:rPr>
          <w:rFonts w:cs="Arial"/>
          <w:sz w:val="24"/>
          <w:szCs w:val="24"/>
        </w:rPr>
        <w:t>, independientemente si es factible disponerlo en el mercado. Sirve al usuario para medir la adecuación de los recursos de la entidad para satisfacer sus compromisos de efectivo en el corto plazo.</w:t>
      </w:r>
    </w:p>
    <w:p w:rsidR="003C0215" w:rsidRPr="009403D7" w:rsidRDefault="003C0215" w:rsidP="00306292">
      <w:pPr>
        <w:pStyle w:val="Textoindependiente"/>
        <w:spacing w:before="120" w:after="120" w:line="360" w:lineRule="auto"/>
        <w:jc w:val="both"/>
        <w:rPr>
          <w:rFonts w:cs="Arial"/>
          <w:sz w:val="24"/>
          <w:szCs w:val="24"/>
        </w:rPr>
      </w:pPr>
      <w:r w:rsidRPr="00D8223F">
        <w:rPr>
          <w:rFonts w:cs="Arial"/>
          <w:b/>
          <w:sz w:val="24"/>
          <w:szCs w:val="24"/>
        </w:rPr>
        <w:t>Prestador de servicios</w:t>
      </w:r>
      <w:r w:rsidRPr="009403D7">
        <w:rPr>
          <w:rFonts w:cs="Arial"/>
          <w:sz w:val="24"/>
          <w:szCs w:val="24"/>
        </w:rPr>
        <w:t>: La persona física o moral que otorgue servicios de cualquier naturaleza, salvo los relacionados con obr</w:t>
      </w:r>
      <w:r>
        <w:rPr>
          <w:rFonts w:cs="Arial"/>
          <w:sz w:val="24"/>
          <w:szCs w:val="24"/>
        </w:rPr>
        <w:t>a pública.</w:t>
      </w:r>
    </w:p>
    <w:p w:rsidR="003C0215" w:rsidRPr="009403D7" w:rsidRDefault="003C0215" w:rsidP="00306292">
      <w:pPr>
        <w:pStyle w:val="Textoindependiente"/>
        <w:spacing w:before="120" w:after="120" w:line="360" w:lineRule="auto"/>
        <w:jc w:val="both"/>
        <w:rPr>
          <w:rFonts w:cs="Arial"/>
          <w:sz w:val="24"/>
          <w:szCs w:val="24"/>
        </w:rPr>
      </w:pPr>
      <w:r w:rsidRPr="00D8223F">
        <w:rPr>
          <w:rFonts w:cs="Arial"/>
          <w:b/>
          <w:sz w:val="24"/>
          <w:szCs w:val="24"/>
        </w:rPr>
        <w:t>Procedimiento de contratación</w:t>
      </w:r>
      <w:r w:rsidRPr="009403D7">
        <w:rPr>
          <w:rFonts w:cs="Arial"/>
          <w:sz w:val="24"/>
          <w:szCs w:val="24"/>
        </w:rPr>
        <w:t xml:space="preserve">: Procedimiento para adjudicar contratos de adquisiciones, arrendamientos, prestación de servicios u obra pública, mediante Licitación Pública Nacional e Invitación a cuando menos </w:t>
      </w:r>
      <w:r w:rsidR="00D45711">
        <w:rPr>
          <w:rFonts w:cs="Arial"/>
          <w:sz w:val="24"/>
          <w:szCs w:val="24"/>
        </w:rPr>
        <w:t>T</w:t>
      </w:r>
      <w:r w:rsidRPr="009403D7">
        <w:rPr>
          <w:rFonts w:cs="Arial"/>
          <w:sz w:val="24"/>
          <w:szCs w:val="24"/>
        </w:rPr>
        <w:t xml:space="preserve">res </w:t>
      </w:r>
      <w:r w:rsidR="00D45711">
        <w:rPr>
          <w:rFonts w:cs="Arial"/>
          <w:sz w:val="24"/>
          <w:szCs w:val="24"/>
        </w:rPr>
        <w:t>P</w:t>
      </w:r>
      <w:r w:rsidRPr="009403D7">
        <w:rPr>
          <w:rFonts w:cs="Arial"/>
          <w:sz w:val="24"/>
          <w:szCs w:val="24"/>
        </w:rPr>
        <w:t xml:space="preserve">roveedores o </w:t>
      </w:r>
      <w:r w:rsidR="00D45711">
        <w:rPr>
          <w:rFonts w:cs="Arial"/>
          <w:sz w:val="24"/>
          <w:szCs w:val="24"/>
        </w:rPr>
        <w:t>C</w:t>
      </w:r>
      <w:r w:rsidRPr="009403D7">
        <w:rPr>
          <w:rFonts w:cs="Arial"/>
          <w:sz w:val="24"/>
          <w:szCs w:val="24"/>
        </w:rPr>
        <w:t xml:space="preserve">ontratistas, de conformidad con lo dispuesto en el artículo </w:t>
      </w:r>
      <w:r>
        <w:rPr>
          <w:rFonts w:cs="Arial"/>
          <w:sz w:val="24"/>
          <w:szCs w:val="24"/>
        </w:rPr>
        <w:t>40</w:t>
      </w:r>
      <w:r w:rsidR="00D45711">
        <w:rPr>
          <w:rFonts w:cs="Arial"/>
          <w:sz w:val="24"/>
          <w:szCs w:val="24"/>
        </w:rPr>
        <w:t xml:space="preserve"> del Acuerdo General.</w:t>
      </w:r>
    </w:p>
    <w:p w:rsidR="003C0215" w:rsidRDefault="003C0215" w:rsidP="00306292">
      <w:pPr>
        <w:pStyle w:val="Textoindependiente"/>
        <w:spacing w:before="120" w:after="120" w:line="360" w:lineRule="auto"/>
        <w:jc w:val="both"/>
        <w:rPr>
          <w:rFonts w:cs="Arial"/>
          <w:sz w:val="24"/>
          <w:szCs w:val="24"/>
        </w:rPr>
      </w:pPr>
      <w:r w:rsidRPr="00D8223F">
        <w:rPr>
          <w:rFonts w:cs="Arial"/>
          <w:b/>
          <w:sz w:val="24"/>
          <w:szCs w:val="24"/>
        </w:rPr>
        <w:t>Proveedor</w:t>
      </w:r>
      <w:r w:rsidRPr="009403D7">
        <w:rPr>
          <w:rFonts w:cs="Arial"/>
          <w:sz w:val="24"/>
          <w:szCs w:val="24"/>
        </w:rPr>
        <w:t xml:space="preserve">: La persona física o moral que suministre </w:t>
      </w:r>
      <w:r>
        <w:rPr>
          <w:rFonts w:cs="Arial"/>
          <w:sz w:val="24"/>
          <w:szCs w:val="24"/>
        </w:rPr>
        <w:t>u ofrezca en arrendamiento</w:t>
      </w:r>
      <w:r w:rsidRPr="009403D7">
        <w:rPr>
          <w:rFonts w:cs="Arial"/>
          <w:sz w:val="24"/>
          <w:szCs w:val="24"/>
        </w:rPr>
        <w:t xml:space="preserve"> bi</w:t>
      </w:r>
      <w:r>
        <w:rPr>
          <w:rFonts w:cs="Arial"/>
          <w:sz w:val="24"/>
          <w:szCs w:val="24"/>
        </w:rPr>
        <w:t>enes muebles o preste servicios.</w:t>
      </w:r>
    </w:p>
    <w:p w:rsidR="007A2B7F" w:rsidRPr="007A2B7F" w:rsidRDefault="001F559B" w:rsidP="00306292">
      <w:pPr>
        <w:pStyle w:val="Textoindependiente"/>
        <w:spacing w:before="120" w:after="120" w:line="360" w:lineRule="auto"/>
        <w:jc w:val="both"/>
        <w:rPr>
          <w:rFonts w:cs="Arial"/>
          <w:sz w:val="24"/>
          <w:szCs w:val="24"/>
        </w:rPr>
      </w:pPr>
      <w:r w:rsidRPr="007A2B7F">
        <w:rPr>
          <w:rFonts w:cs="Arial"/>
          <w:b/>
          <w:sz w:val="24"/>
          <w:szCs w:val="24"/>
        </w:rPr>
        <w:t>Solvencia</w:t>
      </w:r>
      <w:r w:rsidR="007A2B7F" w:rsidRPr="0078239F">
        <w:rPr>
          <w:rStyle w:val="Refdenotaalpie"/>
          <w:rFonts w:cs="Arial"/>
          <w:b/>
          <w:color w:val="C00000"/>
          <w:sz w:val="24"/>
          <w:szCs w:val="24"/>
        </w:rPr>
        <w:footnoteReference w:id="2"/>
      </w:r>
      <w:r w:rsidR="007A2B7F">
        <w:rPr>
          <w:rFonts w:cs="Arial"/>
          <w:b/>
          <w:sz w:val="24"/>
          <w:szCs w:val="24"/>
        </w:rPr>
        <w:t>:</w:t>
      </w:r>
      <w:r w:rsidR="007A2B7F" w:rsidRPr="007A2B7F">
        <w:rPr>
          <w:rFonts w:cs="Arial"/>
          <w:b/>
          <w:sz w:val="24"/>
          <w:szCs w:val="24"/>
        </w:rPr>
        <w:t xml:space="preserve"> </w:t>
      </w:r>
      <w:r w:rsidR="007A2B7F">
        <w:rPr>
          <w:rFonts w:cs="Arial"/>
          <w:sz w:val="24"/>
          <w:szCs w:val="24"/>
        </w:rPr>
        <w:t>Se refiere al exceso de activos sobre pasivos y, por tanto, a la suficiencia del capital contable de las entidades. Sirve al usuario para examinar la estructura de capital contable de la entidad en términos de la mezcla de sus recursos financieros y la habilidad de la entidad para satisfacer sus compromisos a largo plazo y sus obligaciones de inversión.</w:t>
      </w:r>
    </w:p>
    <w:p w:rsidR="00A81B5E" w:rsidRPr="00490C22" w:rsidRDefault="00A81B5E" w:rsidP="00490C22">
      <w:pPr>
        <w:spacing w:line="360" w:lineRule="auto"/>
        <w:ind w:right="48"/>
        <w:jc w:val="both"/>
        <w:rPr>
          <w:rFonts w:ascii="Arial" w:hAnsi="Arial" w:cs="Arial"/>
          <w:noProof/>
          <w:lang w:eastAsia="es-MX"/>
        </w:rPr>
      </w:pPr>
    </w:p>
    <w:p w:rsidR="008104EE" w:rsidRPr="00900B5A" w:rsidRDefault="008104EE" w:rsidP="003A5FB6">
      <w:pPr>
        <w:pStyle w:val="Prrafodelista"/>
        <w:numPr>
          <w:ilvl w:val="3"/>
          <w:numId w:val="11"/>
        </w:numPr>
        <w:spacing w:line="384" w:lineRule="auto"/>
        <w:ind w:left="567" w:right="45" w:hanging="567"/>
        <w:jc w:val="both"/>
        <w:rPr>
          <w:rFonts w:ascii="Arial" w:hAnsi="Arial" w:cs="Arial"/>
          <w:noProof/>
          <w:color w:val="000000"/>
          <w:lang w:eastAsia="es-MX"/>
        </w:rPr>
      </w:pPr>
      <w:r w:rsidRPr="00900B5A">
        <w:rPr>
          <w:rFonts w:ascii="Arial" w:hAnsi="Arial" w:cs="Arial"/>
          <w:b/>
          <w:noProof/>
          <w:color w:val="000000"/>
          <w:lang w:eastAsia="es-MX"/>
        </w:rPr>
        <w:t>Disposiciones Generales</w:t>
      </w:r>
      <w:r w:rsidR="005C246E">
        <w:rPr>
          <w:rFonts w:ascii="Arial" w:hAnsi="Arial" w:cs="Arial"/>
          <w:noProof/>
          <w:color w:val="000000"/>
          <w:lang w:eastAsia="es-MX"/>
        </w:rPr>
        <w:t>.</w:t>
      </w:r>
    </w:p>
    <w:p w:rsidR="005C6384" w:rsidRPr="008B66BC" w:rsidRDefault="005C6384" w:rsidP="005B4D7B">
      <w:pPr>
        <w:pStyle w:val="Textoindependiente"/>
        <w:numPr>
          <w:ilvl w:val="0"/>
          <w:numId w:val="13"/>
        </w:numPr>
        <w:tabs>
          <w:tab w:val="left" w:pos="900"/>
        </w:tabs>
        <w:spacing w:before="120" w:after="120" w:line="360" w:lineRule="auto"/>
        <w:ind w:left="714" w:hanging="357"/>
        <w:jc w:val="both"/>
        <w:rPr>
          <w:rFonts w:cs="Arial"/>
          <w:sz w:val="24"/>
          <w:szCs w:val="24"/>
        </w:rPr>
      </w:pPr>
      <w:r w:rsidRPr="008B66BC">
        <w:rPr>
          <w:rFonts w:cs="Arial"/>
          <w:sz w:val="24"/>
          <w:szCs w:val="24"/>
        </w:rPr>
        <w:t>De conformidad con lo establecido en los artículos 26 y 63 del Acuerdo General, la Coordinación Financiera es la instancia facultada para elaborar el dictamen resolutivo financiero.</w:t>
      </w:r>
    </w:p>
    <w:p w:rsidR="005C6384" w:rsidRPr="008B66BC" w:rsidRDefault="005C6384" w:rsidP="005B4D7B">
      <w:pPr>
        <w:pStyle w:val="Textoindependiente"/>
        <w:numPr>
          <w:ilvl w:val="0"/>
          <w:numId w:val="13"/>
        </w:numPr>
        <w:tabs>
          <w:tab w:val="left" w:pos="900"/>
        </w:tabs>
        <w:spacing w:before="120" w:after="120" w:line="360" w:lineRule="auto"/>
        <w:ind w:left="714" w:hanging="357"/>
        <w:jc w:val="both"/>
        <w:rPr>
          <w:rFonts w:cs="Arial"/>
          <w:sz w:val="24"/>
          <w:szCs w:val="24"/>
        </w:rPr>
      </w:pPr>
      <w:r w:rsidRPr="008B66BC">
        <w:rPr>
          <w:rFonts w:cs="Arial"/>
          <w:sz w:val="24"/>
          <w:szCs w:val="24"/>
        </w:rPr>
        <w:lastRenderedPageBreak/>
        <w:t>La documentación financiera sujeta de análisis en los procedimientos de Licitación Pública Nacional e Invitación a cuando menos tres proveedores o contratistas, que será requerida</w:t>
      </w:r>
      <w:r w:rsidR="00D45711" w:rsidRPr="00D45711">
        <w:rPr>
          <w:rFonts w:cs="Arial"/>
          <w:sz w:val="24"/>
          <w:szCs w:val="24"/>
          <w:lang w:val="es-ES_tradnl"/>
        </w:rPr>
        <w:t xml:space="preserve"> </w:t>
      </w:r>
      <w:r w:rsidR="003E01D6" w:rsidRPr="0078239F">
        <w:rPr>
          <w:rFonts w:cs="Arial"/>
          <w:sz w:val="24"/>
          <w:szCs w:val="24"/>
          <w:lang w:val="es-ES_tradnl"/>
        </w:rPr>
        <w:t>desde su inicio</w:t>
      </w:r>
      <w:r w:rsidR="003E01D6">
        <w:rPr>
          <w:rFonts w:cs="Arial"/>
          <w:sz w:val="24"/>
          <w:szCs w:val="24"/>
          <w:lang w:val="es-ES_tradnl"/>
        </w:rPr>
        <w:t xml:space="preserve"> </w:t>
      </w:r>
      <w:r w:rsidR="00D45711" w:rsidRPr="00D45711">
        <w:rPr>
          <w:rFonts w:cs="Arial"/>
          <w:sz w:val="24"/>
          <w:szCs w:val="24"/>
          <w:lang w:val="es-ES_tradnl"/>
        </w:rPr>
        <w:t>en las bases de participación de cada procedimiento,</w:t>
      </w:r>
      <w:r w:rsidRPr="008B66BC">
        <w:rPr>
          <w:rFonts w:cs="Arial"/>
          <w:sz w:val="24"/>
          <w:szCs w:val="24"/>
        </w:rPr>
        <w:t xml:space="preserve"> en </w:t>
      </w:r>
      <w:r w:rsidR="005C6F78" w:rsidRPr="008B66BC">
        <w:rPr>
          <w:rFonts w:cs="Arial"/>
          <w:sz w:val="24"/>
          <w:szCs w:val="24"/>
        </w:rPr>
        <w:t xml:space="preserve">copia simple </w:t>
      </w:r>
      <w:r w:rsidR="005C6F78">
        <w:rPr>
          <w:rFonts w:cs="Arial"/>
          <w:sz w:val="24"/>
          <w:szCs w:val="24"/>
        </w:rPr>
        <w:t>legible</w:t>
      </w:r>
      <w:r w:rsidRPr="008B66BC">
        <w:rPr>
          <w:rFonts w:cs="Arial"/>
          <w:sz w:val="24"/>
          <w:szCs w:val="24"/>
        </w:rPr>
        <w:t>, atendiendo lo dispuesto en el artículo 55 del Acuerdo General, deberá cumplir como mínimo con l</w:t>
      </w:r>
      <w:r w:rsidR="00D45711">
        <w:rPr>
          <w:rFonts w:cs="Arial"/>
          <w:sz w:val="24"/>
          <w:szCs w:val="24"/>
        </w:rPr>
        <w:t>a</w:t>
      </w:r>
      <w:r w:rsidRPr="008B66BC">
        <w:rPr>
          <w:rFonts w:cs="Arial"/>
          <w:sz w:val="24"/>
          <w:szCs w:val="24"/>
        </w:rPr>
        <w:t xml:space="preserve"> siguiente</w:t>
      </w:r>
      <w:r w:rsidR="00D45711">
        <w:rPr>
          <w:rFonts w:cs="Arial"/>
          <w:sz w:val="24"/>
          <w:szCs w:val="24"/>
        </w:rPr>
        <w:t xml:space="preserve"> documentación</w:t>
      </w:r>
      <w:r w:rsidRPr="008B66BC">
        <w:rPr>
          <w:rFonts w:cs="Arial"/>
          <w:sz w:val="24"/>
          <w:szCs w:val="24"/>
        </w:rPr>
        <w:t>:</w:t>
      </w:r>
    </w:p>
    <w:p w:rsidR="005C6384" w:rsidRPr="008B66BC" w:rsidRDefault="00CE6891" w:rsidP="002054B1">
      <w:pPr>
        <w:pStyle w:val="Textoindependiente"/>
        <w:numPr>
          <w:ilvl w:val="0"/>
          <w:numId w:val="16"/>
        </w:numPr>
        <w:spacing w:before="120" w:after="120" w:line="360" w:lineRule="auto"/>
        <w:ind w:left="1248" w:hanging="397"/>
        <w:jc w:val="both"/>
        <w:rPr>
          <w:rFonts w:cs="Arial"/>
          <w:sz w:val="24"/>
          <w:szCs w:val="24"/>
        </w:rPr>
      </w:pPr>
      <w:r>
        <w:rPr>
          <w:rFonts w:cs="Arial"/>
          <w:sz w:val="24"/>
          <w:szCs w:val="24"/>
        </w:rPr>
        <w:t>D</w:t>
      </w:r>
      <w:r w:rsidR="005C6384" w:rsidRPr="008B66BC">
        <w:rPr>
          <w:rFonts w:cs="Arial"/>
          <w:sz w:val="24"/>
          <w:szCs w:val="24"/>
        </w:rPr>
        <w:t xml:space="preserve">eclaración </w:t>
      </w:r>
      <w:r w:rsidR="009E1D04">
        <w:rPr>
          <w:rFonts w:cs="Arial"/>
          <w:sz w:val="24"/>
          <w:szCs w:val="24"/>
        </w:rPr>
        <w:t>A</w:t>
      </w:r>
      <w:r w:rsidR="005C6384" w:rsidRPr="008B66BC">
        <w:rPr>
          <w:rFonts w:cs="Arial"/>
          <w:sz w:val="24"/>
          <w:szCs w:val="24"/>
        </w:rPr>
        <w:t>nual del Impuesto Sobre la Renta</w:t>
      </w:r>
      <w:r w:rsidR="00D45711">
        <w:rPr>
          <w:rFonts w:cs="Arial"/>
          <w:sz w:val="24"/>
          <w:szCs w:val="24"/>
        </w:rPr>
        <w:t xml:space="preserve"> completa de todos sus anexos,</w:t>
      </w:r>
      <w:r w:rsidR="005C6384" w:rsidRPr="008B66BC">
        <w:rPr>
          <w:rFonts w:cs="Arial"/>
          <w:sz w:val="24"/>
          <w:szCs w:val="24"/>
        </w:rPr>
        <w:t xml:space="preserve"> correspondiente a los dos últimos ejercicios fiscales terminados, y en su caso, las declaraciones complementarias presentadas.</w:t>
      </w:r>
    </w:p>
    <w:p w:rsidR="00D45711" w:rsidRDefault="00FE1D2D" w:rsidP="002054B1">
      <w:pPr>
        <w:pStyle w:val="Textoindependiente"/>
        <w:spacing w:before="120" w:after="120" w:line="360" w:lineRule="auto"/>
        <w:ind w:left="1276"/>
        <w:jc w:val="both"/>
        <w:rPr>
          <w:rFonts w:cs="Arial"/>
          <w:sz w:val="24"/>
          <w:szCs w:val="24"/>
        </w:rPr>
      </w:pPr>
      <w:r w:rsidRPr="000720A6">
        <w:rPr>
          <w:rFonts w:cs="Arial"/>
          <w:sz w:val="24"/>
          <w:szCs w:val="24"/>
        </w:rPr>
        <w:t xml:space="preserve">Las </w:t>
      </w:r>
      <w:r w:rsidR="000D37E9" w:rsidRPr="000720A6">
        <w:rPr>
          <w:rFonts w:cs="Arial"/>
          <w:sz w:val="24"/>
          <w:szCs w:val="24"/>
        </w:rPr>
        <w:t>cifras consignadas en los Estados Financieros, tales como el total de ingresos netos y utilidad neta, para el caso del estado de resultados, así como el total de los rubros de activo, pasivo y capital contable en el caso del estado de posición financiera, deberán ser con</w:t>
      </w:r>
      <w:r w:rsidR="00D45711">
        <w:rPr>
          <w:rFonts w:cs="Arial"/>
          <w:sz w:val="24"/>
          <w:szCs w:val="24"/>
        </w:rPr>
        <w:t>gruen</w:t>
      </w:r>
      <w:r w:rsidR="000D37E9" w:rsidRPr="000720A6">
        <w:rPr>
          <w:rFonts w:cs="Arial"/>
          <w:sz w:val="24"/>
          <w:szCs w:val="24"/>
        </w:rPr>
        <w:t>tes con las cifras manifestadas en el anexo respectivo de la declaración anual del impuesto sobre la renta del ejercicio fiscal al que corresponda</w:t>
      </w:r>
      <w:r w:rsidR="00D45711">
        <w:rPr>
          <w:rFonts w:cs="Arial"/>
          <w:sz w:val="24"/>
          <w:szCs w:val="24"/>
        </w:rPr>
        <w:t>.</w:t>
      </w:r>
    </w:p>
    <w:p w:rsidR="005C6384" w:rsidRPr="000720A6" w:rsidRDefault="00D45711" w:rsidP="000D37E9">
      <w:pPr>
        <w:pStyle w:val="Textoindependiente"/>
        <w:spacing w:before="120" w:after="120" w:line="360" w:lineRule="auto"/>
        <w:ind w:left="1276"/>
        <w:jc w:val="both"/>
        <w:rPr>
          <w:rFonts w:cs="Arial"/>
          <w:sz w:val="24"/>
          <w:szCs w:val="24"/>
        </w:rPr>
      </w:pPr>
      <w:r>
        <w:rPr>
          <w:rFonts w:cs="Arial"/>
          <w:sz w:val="24"/>
          <w:szCs w:val="24"/>
        </w:rPr>
        <w:t>E</w:t>
      </w:r>
      <w:r w:rsidR="000D37E9" w:rsidRPr="000720A6">
        <w:rPr>
          <w:rFonts w:cs="Arial"/>
          <w:sz w:val="24"/>
          <w:szCs w:val="24"/>
        </w:rPr>
        <w:t>n caso de mostrar diferencias, deberán incluirse las notas a los estados financieros, así como el soporte documental oficial; o bien, el fundamento legal que justifique las discrepancias de las cifras entre la información financiera y las cifras fiscales.</w:t>
      </w:r>
    </w:p>
    <w:p w:rsidR="005C6384" w:rsidRPr="008B66BC" w:rsidRDefault="005C6384" w:rsidP="00306292">
      <w:pPr>
        <w:pStyle w:val="Textoindependiente"/>
        <w:numPr>
          <w:ilvl w:val="0"/>
          <w:numId w:val="16"/>
        </w:numPr>
        <w:spacing w:before="120" w:after="120" w:line="360" w:lineRule="auto"/>
        <w:ind w:left="1248" w:hanging="397"/>
        <w:jc w:val="both"/>
        <w:rPr>
          <w:rFonts w:cs="Arial"/>
          <w:sz w:val="24"/>
          <w:szCs w:val="24"/>
        </w:rPr>
      </w:pPr>
      <w:r w:rsidRPr="008B66BC">
        <w:rPr>
          <w:rFonts w:cs="Arial"/>
          <w:sz w:val="24"/>
          <w:szCs w:val="24"/>
        </w:rPr>
        <w:t xml:space="preserve">Estados </w:t>
      </w:r>
      <w:r w:rsidR="009E1D04">
        <w:rPr>
          <w:rFonts w:cs="Arial"/>
          <w:sz w:val="24"/>
          <w:szCs w:val="24"/>
        </w:rPr>
        <w:t>F</w:t>
      </w:r>
      <w:r w:rsidRPr="008B66BC">
        <w:rPr>
          <w:rFonts w:cs="Arial"/>
          <w:sz w:val="24"/>
          <w:szCs w:val="24"/>
        </w:rPr>
        <w:t>inancieros básicos, correspondientes a los dos últimos ejercicios fiscales terminados, en papel con membrete, y debidamente firmados por el Representante Legal y el Contador Público Titulado, anexando copia simple de la Cédula Profesional del Contador Público que elaboró los Estados Financieros.</w:t>
      </w:r>
    </w:p>
    <w:p w:rsidR="005C6384" w:rsidRDefault="005C6384" w:rsidP="00426273">
      <w:pPr>
        <w:pStyle w:val="Textoindependiente"/>
        <w:spacing w:before="120" w:after="120" w:line="360" w:lineRule="auto"/>
        <w:ind w:left="1276"/>
        <w:jc w:val="both"/>
        <w:rPr>
          <w:rFonts w:cs="Arial"/>
          <w:sz w:val="24"/>
          <w:szCs w:val="24"/>
        </w:rPr>
      </w:pPr>
      <w:r w:rsidRPr="008B66BC">
        <w:rPr>
          <w:rFonts w:cs="Arial"/>
          <w:sz w:val="24"/>
          <w:szCs w:val="24"/>
        </w:rPr>
        <w:t>Los estados financieros básicos que se mencionan consistirán preferentemente, de manera enunciativa más no limitativa de lo siguiente:</w:t>
      </w:r>
    </w:p>
    <w:p w:rsidR="00642800" w:rsidRDefault="005C6384" w:rsidP="00C709A4">
      <w:pPr>
        <w:pStyle w:val="Textoindependiente"/>
        <w:numPr>
          <w:ilvl w:val="1"/>
          <w:numId w:val="18"/>
        </w:numPr>
        <w:spacing w:after="120" w:line="360" w:lineRule="auto"/>
        <w:ind w:left="1661" w:hanging="357"/>
        <w:jc w:val="both"/>
        <w:rPr>
          <w:rFonts w:cs="Arial"/>
          <w:sz w:val="24"/>
          <w:szCs w:val="24"/>
        </w:rPr>
      </w:pPr>
      <w:r w:rsidRPr="00642800">
        <w:rPr>
          <w:rFonts w:cs="Arial"/>
          <w:sz w:val="24"/>
          <w:szCs w:val="24"/>
        </w:rPr>
        <w:t>Balance general, también llamado estado de situación financiera o</w:t>
      </w:r>
      <w:r w:rsidR="00642800" w:rsidRPr="00642800">
        <w:rPr>
          <w:rFonts w:cs="Arial"/>
          <w:sz w:val="24"/>
          <w:szCs w:val="24"/>
        </w:rPr>
        <w:t xml:space="preserve"> </w:t>
      </w:r>
      <w:r w:rsidRPr="00642800">
        <w:rPr>
          <w:rFonts w:cs="Arial"/>
          <w:sz w:val="24"/>
          <w:szCs w:val="24"/>
        </w:rPr>
        <w:t>estado de posición financiera;</w:t>
      </w:r>
    </w:p>
    <w:p w:rsidR="005C6384" w:rsidRPr="00642800" w:rsidRDefault="005C6384" w:rsidP="00C709A4">
      <w:pPr>
        <w:pStyle w:val="Textoindependiente"/>
        <w:numPr>
          <w:ilvl w:val="1"/>
          <w:numId w:val="18"/>
        </w:numPr>
        <w:spacing w:after="120" w:line="360" w:lineRule="auto"/>
        <w:ind w:left="1661" w:hanging="357"/>
        <w:jc w:val="both"/>
        <w:rPr>
          <w:rFonts w:cs="Arial"/>
          <w:sz w:val="24"/>
          <w:szCs w:val="24"/>
        </w:rPr>
      </w:pPr>
      <w:r w:rsidRPr="00642800">
        <w:rPr>
          <w:rFonts w:cs="Arial"/>
          <w:sz w:val="24"/>
          <w:szCs w:val="24"/>
        </w:rPr>
        <w:lastRenderedPageBreak/>
        <w:t>Estado de resultados, para entidades lucrativas o, en su caso, estado de actividades, para entidades con propósitos no lucrativos;</w:t>
      </w:r>
    </w:p>
    <w:p w:rsidR="005C6384" w:rsidRDefault="005C6384" w:rsidP="00306292">
      <w:pPr>
        <w:pStyle w:val="Textoindependiente"/>
        <w:numPr>
          <w:ilvl w:val="1"/>
          <w:numId w:val="18"/>
        </w:numPr>
        <w:spacing w:before="120" w:after="120" w:line="360" w:lineRule="auto"/>
        <w:ind w:left="1661" w:hanging="357"/>
        <w:jc w:val="both"/>
        <w:rPr>
          <w:rFonts w:cs="Arial"/>
          <w:sz w:val="24"/>
          <w:szCs w:val="24"/>
        </w:rPr>
      </w:pPr>
      <w:r w:rsidRPr="008B66BC">
        <w:rPr>
          <w:rFonts w:cs="Arial"/>
          <w:sz w:val="24"/>
          <w:szCs w:val="24"/>
        </w:rPr>
        <w:t>En su caso, notas a los estados financieros;</w:t>
      </w:r>
    </w:p>
    <w:p w:rsidR="00490C22" w:rsidRPr="00490C22" w:rsidRDefault="00490C22" w:rsidP="00490C22">
      <w:pPr>
        <w:spacing w:line="360" w:lineRule="auto"/>
        <w:ind w:right="48"/>
        <w:jc w:val="both"/>
        <w:rPr>
          <w:rFonts w:ascii="Arial" w:hAnsi="Arial" w:cs="Arial"/>
          <w:noProof/>
          <w:lang w:eastAsia="es-MX"/>
        </w:rPr>
      </w:pPr>
    </w:p>
    <w:p w:rsidR="005C6384" w:rsidRPr="008B66BC" w:rsidRDefault="00CE6891" w:rsidP="005B4D7B">
      <w:pPr>
        <w:pStyle w:val="Textoindependiente"/>
        <w:numPr>
          <w:ilvl w:val="0"/>
          <w:numId w:val="16"/>
        </w:numPr>
        <w:spacing w:before="120" w:after="120" w:line="360" w:lineRule="auto"/>
        <w:ind w:left="1248" w:hanging="397"/>
        <w:jc w:val="both"/>
        <w:rPr>
          <w:rFonts w:cs="Arial"/>
          <w:sz w:val="24"/>
          <w:szCs w:val="24"/>
        </w:rPr>
      </w:pPr>
      <w:r>
        <w:rPr>
          <w:rFonts w:cs="Arial"/>
          <w:sz w:val="24"/>
          <w:szCs w:val="24"/>
        </w:rPr>
        <w:t>En caso de tener la obligación legal los Estados Financieros antes mencionados deberán presentarse debidamente auditados, y en su caso, dictaminados de conformidad con las disposiciones legales aplicables</w:t>
      </w:r>
      <w:r w:rsidR="005C6384" w:rsidRPr="008B66BC">
        <w:rPr>
          <w:rFonts w:cs="Arial"/>
          <w:sz w:val="24"/>
          <w:szCs w:val="24"/>
        </w:rPr>
        <w:t>.</w:t>
      </w:r>
    </w:p>
    <w:p w:rsidR="005C6384" w:rsidRPr="008B66BC" w:rsidRDefault="005C6384" w:rsidP="005B4D7B">
      <w:pPr>
        <w:pStyle w:val="Textoindependiente"/>
        <w:numPr>
          <w:ilvl w:val="0"/>
          <w:numId w:val="16"/>
        </w:numPr>
        <w:spacing w:before="120" w:after="120" w:line="360" w:lineRule="auto"/>
        <w:ind w:left="1248" w:hanging="397"/>
        <w:jc w:val="both"/>
        <w:rPr>
          <w:rFonts w:cs="Arial"/>
          <w:sz w:val="24"/>
          <w:szCs w:val="24"/>
        </w:rPr>
      </w:pPr>
      <w:r w:rsidRPr="008B66BC">
        <w:rPr>
          <w:rFonts w:cs="Arial"/>
          <w:sz w:val="24"/>
          <w:szCs w:val="24"/>
        </w:rPr>
        <w:t>En materia de obra pública</w:t>
      </w:r>
      <w:r w:rsidR="00291265">
        <w:rPr>
          <w:rFonts w:cs="Arial"/>
          <w:sz w:val="24"/>
          <w:szCs w:val="24"/>
        </w:rPr>
        <w:t>,</w:t>
      </w:r>
      <w:r w:rsidRPr="008B66BC">
        <w:rPr>
          <w:rFonts w:cs="Arial"/>
          <w:sz w:val="24"/>
          <w:szCs w:val="24"/>
        </w:rPr>
        <w:t xml:space="preserve"> además deberá presentar la declaración de contar con el capital de trabajo solicitado en las bases. </w:t>
      </w:r>
    </w:p>
    <w:p w:rsidR="005C6384" w:rsidRPr="008B66BC" w:rsidRDefault="005C6384" w:rsidP="005B4D7B">
      <w:pPr>
        <w:pStyle w:val="Textoindependiente"/>
        <w:numPr>
          <w:ilvl w:val="0"/>
          <w:numId w:val="16"/>
        </w:numPr>
        <w:spacing w:before="120" w:after="120" w:line="360" w:lineRule="auto"/>
        <w:ind w:left="1248" w:hanging="397"/>
        <w:jc w:val="both"/>
        <w:rPr>
          <w:rFonts w:cs="Arial"/>
          <w:sz w:val="24"/>
          <w:szCs w:val="24"/>
        </w:rPr>
      </w:pPr>
      <w:r w:rsidRPr="008B66BC">
        <w:rPr>
          <w:rFonts w:cs="Arial"/>
          <w:sz w:val="24"/>
          <w:szCs w:val="24"/>
        </w:rPr>
        <w:t>La información contenida en el curr</w:t>
      </w:r>
      <w:r w:rsidR="00C45EED">
        <w:rPr>
          <w:rFonts w:cs="Arial"/>
          <w:sz w:val="24"/>
          <w:szCs w:val="24"/>
        </w:rPr>
        <w:t>í</w:t>
      </w:r>
      <w:r w:rsidRPr="008B66BC">
        <w:rPr>
          <w:rFonts w:cs="Arial"/>
          <w:sz w:val="24"/>
          <w:szCs w:val="24"/>
        </w:rPr>
        <w:t>culum presentado por el participante en los procedimientos de obra pública (</w:t>
      </w:r>
      <w:r w:rsidR="00291265">
        <w:rPr>
          <w:rFonts w:cs="Arial"/>
          <w:sz w:val="24"/>
          <w:szCs w:val="24"/>
        </w:rPr>
        <w:t>en el anexo</w:t>
      </w:r>
      <w:r w:rsidRPr="008B66BC">
        <w:rPr>
          <w:rFonts w:cs="Arial"/>
          <w:sz w:val="24"/>
          <w:szCs w:val="24"/>
        </w:rPr>
        <w:t xml:space="preserve"> </w:t>
      </w:r>
      <w:r w:rsidR="00291265">
        <w:rPr>
          <w:rFonts w:cs="Arial"/>
          <w:sz w:val="24"/>
          <w:szCs w:val="24"/>
        </w:rPr>
        <w:t>correspondiente</w:t>
      </w:r>
      <w:r w:rsidRPr="008B66BC">
        <w:rPr>
          <w:rFonts w:cs="Arial"/>
          <w:sz w:val="24"/>
          <w:szCs w:val="24"/>
        </w:rPr>
        <w:t>), deberá ser congruente con los ingresos declarados en los Estados de Resultados correspondientes a los dos últimos años fiscales terminados.</w:t>
      </w:r>
    </w:p>
    <w:p w:rsidR="005C6384" w:rsidRDefault="005C6384" w:rsidP="005B4D7B">
      <w:pPr>
        <w:pStyle w:val="Textoindependiente"/>
        <w:numPr>
          <w:ilvl w:val="0"/>
          <w:numId w:val="16"/>
        </w:numPr>
        <w:spacing w:before="120" w:after="120" w:line="360" w:lineRule="auto"/>
        <w:ind w:left="1248" w:hanging="397"/>
        <w:jc w:val="both"/>
        <w:rPr>
          <w:rFonts w:cs="Arial"/>
          <w:sz w:val="24"/>
          <w:szCs w:val="24"/>
        </w:rPr>
      </w:pPr>
      <w:r w:rsidRPr="008B66BC">
        <w:rPr>
          <w:rFonts w:cs="Arial"/>
          <w:sz w:val="24"/>
          <w:szCs w:val="24"/>
        </w:rPr>
        <w:t>En el caso de las personas físicas con actividad empresarial o profesional, deberá</w:t>
      </w:r>
      <w:r w:rsidR="00DB41C9">
        <w:rPr>
          <w:rFonts w:cs="Arial"/>
          <w:sz w:val="24"/>
          <w:szCs w:val="24"/>
        </w:rPr>
        <w:t>n</w:t>
      </w:r>
      <w:r w:rsidRPr="008B66BC">
        <w:rPr>
          <w:rFonts w:cs="Arial"/>
          <w:sz w:val="24"/>
          <w:szCs w:val="24"/>
        </w:rPr>
        <w:t xml:space="preserve"> presentar su estado de situación patrimonial de los dos últimos ejercicios terminados, con la firma autógrafa propia del participante, en papel con membrete en original, donde manifieste bajo protesta de decir verdad sus activos y pasivos a corto y a largo plazo.</w:t>
      </w:r>
    </w:p>
    <w:p w:rsidR="00D2201C" w:rsidRPr="000720A6" w:rsidRDefault="003B486C" w:rsidP="005B4D7B">
      <w:pPr>
        <w:pStyle w:val="Textoindependiente"/>
        <w:numPr>
          <w:ilvl w:val="0"/>
          <w:numId w:val="16"/>
        </w:numPr>
        <w:spacing w:before="120" w:after="120" w:line="360" w:lineRule="auto"/>
        <w:ind w:left="1248" w:hanging="397"/>
        <w:jc w:val="both"/>
        <w:rPr>
          <w:rFonts w:cs="Arial"/>
          <w:sz w:val="24"/>
          <w:szCs w:val="24"/>
        </w:rPr>
      </w:pPr>
      <w:r w:rsidRPr="000720A6">
        <w:rPr>
          <w:rFonts w:cs="Arial"/>
          <w:sz w:val="24"/>
          <w:szCs w:val="24"/>
        </w:rPr>
        <w:t xml:space="preserve">Tratándose de </w:t>
      </w:r>
      <w:r w:rsidR="00FD732F" w:rsidRPr="000720A6">
        <w:rPr>
          <w:rFonts w:cs="Arial"/>
          <w:sz w:val="24"/>
          <w:szCs w:val="24"/>
        </w:rPr>
        <w:t xml:space="preserve">empresas </w:t>
      </w:r>
      <w:r w:rsidR="00C85514" w:rsidRPr="000720A6">
        <w:rPr>
          <w:rFonts w:cs="Arial"/>
          <w:sz w:val="24"/>
          <w:szCs w:val="24"/>
        </w:rPr>
        <w:t>de reciente creación,</w:t>
      </w:r>
      <w:r w:rsidR="00F624DF" w:rsidRPr="000720A6">
        <w:rPr>
          <w:rFonts w:cs="Arial"/>
          <w:sz w:val="24"/>
          <w:szCs w:val="24"/>
        </w:rPr>
        <w:t xml:space="preserve"> cuando la fecha de su constitución corresponda al ejercicio fiscal inmediato anterior a la fecha de apertura de propuestas, deberán </w:t>
      </w:r>
      <w:r w:rsidR="00FD732F" w:rsidRPr="000720A6">
        <w:rPr>
          <w:rFonts w:cs="Arial"/>
          <w:sz w:val="24"/>
          <w:szCs w:val="24"/>
        </w:rPr>
        <w:t>cumplir con los requisitos y la documentación que se solicita</w:t>
      </w:r>
      <w:r w:rsidR="00F624DF" w:rsidRPr="000720A6">
        <w:rPr>
          <w:rFonts w:cs="Arial"/>
          <w:sz w:val="24"/>
          <w:szCs w:val="24"/>
        </w:rPr>
        <w:t xml:space="preserve"> en los numerales </w:t>
      </w:r>
      <w:r w:rsidR="005B4D7B">
        <w:rPr>
          <w:rFonts w:cs="Arial"/>
          <w:sz w:val="24"/>
          <w:szCs w:val="24"/>
        </w:rPr>
        <w:t>4</w:t>
      </w:r>
      <w:r w:rsidR="00F624DF" w:rsidRPr="000720A6">
        <w:rPr>
          <w:rFonts w:cs="Arial"/>
          <w:sz w:val="24"/>
          <w:szCs w:val="24"/>
        </w:rPr>
        <w:t xml:space="preserve">.1. a </w:t>
      </w:r>
      <w:r w:rsidR="005B4D7B">
        <w:rPr>
          <w:rFonts w:cs="Arial"/>
          <w:sz w:val="24"/>
          <w:szCs w:val="24"/>
        </w:rPr>
        <w:t>4</w:t>
      </w:r>
      <w:r w:rsidR="00F624DF" w:rsidRPr="000720A6">
        <w:rPr>
          <w:rFonts w:cs="Arial"/>
          <w:sz w:val="24"/>
          <w:szCs w:val="24"/>
        </w:rPr>
        <w:t>.</w:t>
      </w:r>
      <w:r w:rsidR="0003103B">
        <w:rPr>
          <w:rFonts w:cs="Arial"/>
          <w:sz w:val="24"/>
          <w:szCs w:val="24"/>
        </w:rPr>
        <w:t>6</w:t>
      </w:r>
      <w:r w:rsidR="00F624DF" w:rsidRPr="000720A6">
        <w:rPr>
          <w:rFonts w:cs="Arial"/>
          <w:sz w:val="24"/>
          <w:szCs w:val="24"/>
        </w:rPr>
        <w:t xml:space="preserve">. </w:t>
      </w:r>
      <w:r w:rsidR="00100711" w:rsidRPr="000720A6">
        <w:rPr>
          <w:rFonts w:cs="Arial"/>
          <w:sz w:val="24"/>
          <w:szCs w:val="24"/>
        </w:rPr>
        <w:t>que preceden</w:t>
      </w:r>
      <w:r w:rsidR="00F624DF" w:rsidRPr="000720A6">
        <w:rPr>
          <w:rFonts w:cs="Arial"/>
          <w:sz w:val="24"/>
          <w:szCs w:val="24"/>
        </w:rPr>
        <w:t xml:space="preserve"> por el ejercicio fiscal inmediato anterior a la apertura de propuestas.</w:t>
      </w:r>
    </w:p>
    <w:p w:rsidR="006F2E6A" w:rsidRDefault="006F2E6A" w:rsidP="005B4D7B">
      <w:pPr>
        <w:pStyle w:val="Textoindependiente"/>
        <w:numPr>
          <w:ilvl w:val="0"/>
          <w:numId w:val="16"/>
        </w:numPr>
        <w:spacing w:before="120" w:after="120" w:line="360" w:lineRule="auto"/>
        <w:ind w:left="1248" w:hanging="397"/>
        <w:jc w:val="both"/>
        <w:rPr>
          <w:rFonts w:cs="Arial"/>
          <w:sz w:val="24"/>
          <w:szCs w:val="24"/>
        </w:rPr>
      </w:pPr>
      <w:r w:rsidRPr="000720A6">
        <w:rPr>
          <w:rFonts w:cs="Arial"/>
          <w:sz w:val="24"/>
          <w:szCs w:val="24"/>
        </w:rPr>
        <w:t>En el caso de participantes de reciente creación, cuya fecha de constitución corresponda al mismo ejercicio fiscal de la fecha de apertura de propuestas, únicamente deberán presentar estados financieros básicos</w:t>
      </w:r>
      <w:r w:rsidR="00B330A1" w:rsidRPr="000720A6">
        <w:rPr>
          <w:rFonts w:cs="Arial"/>
          <w:sz w:val="24"/>
          <w:szCs w:val="24"/>
        </w:rPr>
        <w:t xml:space="preserve"> parciales</w:t>
      </w:r>
      <w:r w:rsidR="00FD732F" w:rsidRPr="000720A6">
        <w:rPr>
          <w:rFonts w:cs="Arial"/>
          <w:sz w:val="24"/>
          <w:szCs w:val="24"/>
        </w:rPr>
        <w:t>,</w:t>
      </w:r>
      <w:r w:rsidRPr="000720A6">
        <w:rPr>
          <w:rFonts w:cs="Arial"/>
          <w:sz w:val="24"/>
          <w:szCs w:val="24"/>
        </w:rPr>
        <w:t xml:space="preserve"> </w:t>
      </w:r>
      <w:r w:rsidR="00FD732F" w:rsidRPr="000720A6">
        <w:rPr>
          <w:rFonts w:cs="Arial"/>
          <w:sz w:val="24"/>
          <w:szCs w:val="24"/>
        </w:rPr>
        <w:t>o en su caso, el estado de situación patrimonial</w:t>
      </w:r>
      <w:r w:rsidR="00B330A1" w:rsidRPr="000720A6">
        <w:rPr>
          <w:rFonts w:cs="Arial"/>
          <w:sz w:val="24"/>
          <w:szCs w:val="24"/>
        </w:rPr>
        <w:t xml:space="preserve"> parcial</w:t>
      </w:r>
      <w:r w:rsidR="00FD732F" w:rsidRPr="000720A6">
        <w:rPr>
          <w:rFonts w:cs="Arial"/>
          <w:sz w:val="24"/>
          <w:szCs w:val="24"/>
        </w:rPr>
        <w:t xml:space="preserve">, </w:t>
      </w:r>
      <w:r w:rsidRPr="000720A6">
        <w:rPr>
          <w:rFonts w:cs="Arial"/>
          <w:sz w:val="24"/>
          <w:szCs w:val="24"/>
        </w:rPr>
        <w:t xml:space="preserve">en los términos señalados en el numeral </w:t>
      </w:r>
      <w:r w:rsidR="005B4D7B">
        <w:rPr>
          <w:rFonts w:cs="Arial"/>
          <w:sz w:val="24"/>
          <w:szCs w:val="24"/>
        </w:rPr>
        <w:t>4</w:t>
      </w:r>
      <w:r w:rsidRPr="000720A6">
        <w:rPr>
          <w:rFonts w:cs="Arial"/>
          <w:sz w:val="24"/>
          <w:szCs w:val="24"/>
        </w:rPr>
        <w:t>.2.</w:t>
      </w:r>
      <w:r w:rsidR="00FD732F" w:rsidRPr="000720A6">
        <w:rPr>
          <w:rFonts w:cs="Arial"/>
          <w:sz w:val="24"/>
          <w:szCs w:val="24"/>
        </w:rPr>
        <w:t xml:space="preserve"> y </w:t>
      </w:r>
      <w:r w:rsidR="005B4D7B">
        <w:rPr>
          <w:rFonts w:cs="Arial"/>
          <w:sz w:val="24"/>
          <w:szCs w:val="24"/>
        </w:rPr>
        <w:t>4</w:t>
      </w:r>
      <w:r w:rsidRPr="000720A6">
        <w:rPr>
          <w:rFonts w:cs="Arial"/>
          <w:sz w:val="24"/>
          <w:szCs w:val="24"/>
        </w:rPr>
        <w:t>.</w:t>
      </w:r>
      <w:r w:rsidR="00C45EED">
        <w:rPr>
          <w:rFonts w:cs="Arial"/>
          <w:sz w:val="24"/>
          <w:szCs w:val="24"/>
        </w:rPr>
        <w:t>6</w:t>
      </w:r>
      <w:r w:rsidRPr="000720A6">
        <w:rPr>
          <w:rFonts w:cs="Arial"/>
          <w:sz w:val="24"/>
          <w:szCs w:val="24"/>
        </w:rPr>
        <w:t xml:space="preserve">., que anteceden, con una antigüedad no </w:t>
      </w:r>
      <w:r w:rsidRPr="000720A6">
        <w:rPr>
          <w:rFonts w:cs="Arial"/>
          <w:sz w:val="24"/>
          <w:szCs w:val="24"/>
        </w:rPr>
        <w:lastRenderedPageBreak/>
        <w:t>mayor a dos meses, contados a partir del mes de la apertura de propuestas</w:t>
      </w:r>
      <w:r w:rsidR="00100711" w:rsidRPr="000720A6">
        <w:rPr>
          <w:rFonts w:cs="Arial"/>
          <w:sz w:val="24"/>
          <w:szCs w:val="24"/>
        </w:rPr>
        <w:t>, además de cumplir con los requisitos establecidos en los puntos</w:t>
      </w:r>
      <w:r w:rsidR="00100711" w:rsidRPr="005B4D7B">
        <w:rPr>
          <w:rFonts w:cs="Arial"/>
          <w:sz w:val="24"/>
          <w:szCs w:val="24"/>
        </w:rPr>
        <w:t xml:space="preserve">, </w:t>
      </w:r>
      <w:r w:rsidR="005B4D7B">
        <w:rPr>
          <w:rFonts w:cs="Arial"/>
          <w:sz w:val="24"/>
          <w:szCs w:val="24"/>
        </w:rPr>
        <w:t>4</w:t>
      </w:r>
      <w:r w:rsidR="00100711" w:rsidRPr="005B4D7B">
        <w:rPr>
          <w:rFonts w:cs="Arial"/>
          <w:sz w:val="24"/>
          <w:szCs w:val="24"/>
        </w:rPr>
        <w:t>.</w:t>
      </w:r>
      <w:r w:rsidR="00C45EED" w:rsidRPr="005B4D7B">
        <w:rPr>
          <w:rFonts w:cs="Arial"/>
          <w:sz w:val="24"/>
          <w:szCs w:val="24"/>
        </w:rPr>
        <w:t>4</w:t>
      </w:r>
      <w:r w:rsidR="00100711" w:rsidRPr="005B4D7B">
        <w:rPr>
          <w:rFonts w:cs="Arial"/>
          <w:sz w:val="24"/>
          <w:szCs w:val="24"/>
        </w:rPr>
        <w:t xml:space="preserve">. y </w:t>
      </w:r>
      <w:r w:rsidR="005B4D7B">
        <w:rPr>
          <w:rFonts w:cs="Arial"/>
          <w:sz w:val="24"/>
          <w:szCs w:val="24"/>
        </w:rPr>
        <w:t>4</w:t>
      </w:r>
      <w:r w:rsidR="00100711" w:rsidRPr="005B4D7B">
        <w:rPr>
          <w:rFonts w:cs="Arial"/>
          <w:sz w:val="24"/>
          <w:szCs w:val="24"/>
        </w:rPr>
        <w:t>.</w:t>
      </w:r>
      <w:r w:rsidR="00C45EED" w:rsidRPr="005B4D7B">
        <w:rPr>
          <w:rFonts w:cs="Arial"/>
          <w:sz w:val="24"/>
          <w:szCs w:val="24"/>
        </w:rPr>
        <w:t>5</w:t>
      </w:r>
      <w:r w:rsidR="004D0E8C">
        <w:rPr>
          <w:rFonts w:cs="Arial"/>
          <w:sz w:val="24"/>
          <w:szCs w:val="24"/>
        </w:rPr>
        <w:t>.</w:t>
      </w:r>
    </w:p>
    <w:p w:rsidR="004D0E8C" w:rsidRDefault="004D0E8C" w:rsidP="005B4D7B">
      <w:pPr>
        <w:pStyle w:val="Textoindependiente"/>
        <w:numPr>
          <w:ilvl w:val="0"/>
          <w:numId w:val="16"/>
        </w:numPr>
        <w:spacing w:before="120" w:after="120" w:line="360" w:lineRule="auto"/>
        <w:ind w:left="1248" w:hanging="397"/>
        <w:jc w:val="both"/>
        <w:rPr>
          <w:rFonts w:cs="Arial"/>
          <w:sz w:val="24"/>
          <w:szCs w:val="24"/>
        </w:rPr>
      </w:pPr>
      <w:r>
        <w:rPr>
          <w:rFonts w:cs="Arial"/>
          <w:sz w:val="24"/>
          <w:szCs w:val="24"/>
        </w:rPr>
        <w:t xml:space="preserve">Tratándose de participaciones conjuntas, invariablemente cada participante, según sea el caso, deberá presentar toda la documentación requerida en los numerales del </w:t>
      </w:r>
      <w:r w:rsidR="005B4D7B">
        <w:rPr>
          <w:rFonts w:cs="Arial"/>
          <w:sz w:val="24"/>
          <w:szCs w:val="24"/>
        </w:rPr>
        <w:t>4</w:t>
      </w:r>
      <w:r>
        <w:rPr>
          <w:rFonts w:cs="Arial"/>
          <w:sz w:val="24"/>
          <w:szCs w:val="24"/>
        </w:rPr>
        <w:t xml:space="preserve">.1. al </w:t>
      </w:r>
      <w:r w:rsidR="005B4D7B">
        <w:rPr>
          <w:rFonts w:cs="Arial"/>
          <w:sz w:val="24"/>
          <w:szCs w:val="24"/>
        </w:rPr>
        <w:t>4</w:t>
      </w:r>
      <w:r>
        <w:rPr>
          <w:rFonts w:cs="Arial"/>
          <w:sz w:val="24"/>
          <w:szCs w:val="24"/>
        </w:rPr>
        <w:t>.8.</w:t>
      </w:r>
    </w:p>
    <w:p w:rsidR="00490C22" w:rsidRPr="00490C22" w:rsidRDefault="00490C22" w:rsidP="00490C22">
      <w:pPr>
        <w:spacing w:line="360" w:lineRule="auto"/>
        <w:ind w:right="48"/>
        <w:jc w:val="both"/>
        <w:rPr>
          <w:rFonts w:ascii="Arial" w:hAnsi="Arial" w:cs="Arial"/>
          <w:noProof/>
          <w:lang w:eastAsia="es-MX"/>
        </w:rPr>
      </w:pPr>
    </w:p>
    <w:p w:rsidR="005C6384" w:rsidRPr="008B66BC" w:rsidRDefault="005C6384" w:rsidP="003A5FB6">
      <w:pPr>
        <w:pStyle w:val="Textoindependiente"/>
        <w:numPr>
          <w:ilvl w:val="0"/>
          <w:numId w:val="13"/>
        </w:numPr>
        <w:tabs>
          <w:tab w:val="left" w:pos="900"/>
        </w:tabs>
        <w:spacing w:before="120" w:after="120" w:line="360" w:lineRule="auto"/>
        <w:jc w:val="both"/>
        <w:rPr>
          <w:rFonts w:cs="Arial"/>
          <w:sz w:val="24"/>
          <w:szCs w:val="24"/>
        </w:rPr>
      </w:pPr>
      <w:r w:rsidRPr="008B66BC">
        <w:rPr>
          <w:rFonts w:cs="Arial"/>
          <w:sz w:val="24"/>
          <w:szCs w:val="24"/>
        </w:rPr>
        <w:t>La Coordinación Financiera a efecto de llevar a cabo un análisis homogéneo de la documentación financiera presentada por los proveedores, prestadores de servicios o contratistas, deberá aplicar como método de análisis de estados financieros, razones financieras simples</w:t>
      </w:r>
      <w:r w:rsidR="00EC46D5" w:rsidRPr="00EC46D5">
        <w:rPr>
          <w:rFonts w:cs="Arial"/>
          <w:sz w:val="24"/>
          <w:szCs w:val="24"/>
          <w:lang w:val="es-ES_tradnl"/>
        </w:rPr>
        <w:t xml:space="preserve"> aplica</w:t>
      </w:r>
      <w:r w:rsidR="00EC46D5">
        <w:rPr>
          <w:rFonts w:cs="Arial"/>
          <w:sz w:val="24"/>
          <w:szCs w:val="24"/>
          <w:lang w:val="es-ES_tradnl"/>
        </w:rPr>
        <w:t xml:space="preserve">das </w:t>
      </w:r>
      <w:r w:rsidR="00EC46D5" w:rsidRPr="00EC46D5">
        <w:rPr>
          <w:rFonts w:cs="Arial"/>
          <w:sz w:val="24"/>
          <w:szCs w:val="24"/>
          <w:lang w:val="es-ES_tradnl"/>
        </w:rPr>
        <w:t>en todos los casos a los estados financieros del ejercicio fiscal más reciente objeto del análisis</w:t>
      </w:r>
      <w:r w:rsidRPr="008B66BC">
        <w:rPr>
          <w:rFonts w:cs="Arial"/>
          <w:sz w:val="24"/>
          <w:szCs w:val="24"/>
        </w:rPr>
        <w:t xml:space="preserve"> y emitir su opinión respecto al grado de solvencia financiera, exclusivamente con base en los resultados obtenidos, en los términos señalados en los numerales </w:t>
      </w:r>
      <w:r w:rsidR="005B4D7B">
        <w:rPr>
          <w:rFonts w:cs="Arial"/>
          <w:sz w:val="24"/>
          <w:szCs w:val="24"/>
        </w:rPr>
        <w:t>6</w:t>
      </w:r>
      <w:r w:rsidRPr="008B66BC">
        <w:rPr>
          <w:rFonts w:cs="Arial"/>
          <w:sz w:val="24"/>
          <w:szCs w:val="24"/>
        </w:rPr>
        <w:t xml:space="preserve"> y</w:t>
      </w:r>
      <w:r w:rsidR="00FF7029">
        <w:rPr>
          <w:rFonts w:cs="Arial"/>
          <w:sz w:val="24"/>
          <w:szCs w:val="24"/>
        </w:rPr>
        <w:t xml:space="preserve"> </w:t>
      </w:r>
      <w:r w:rsidR="005B4D7B">
        <w:rPr>
          <w:rFonts w:cs="Arial"/>
          <w:sz w:val="24"/>
          <w:szCs w:val="24"/>
        </w:rPr>
        <w:t>7</w:t>
      </w:r>
      <w:r w:rsidRPr="008B66BC">
        <w:rPr>
          <w:rFonts w:cs="Arial"/>
          <w:sz w:val="24"/>
          <w:szCs w:val="24"/>
        </w:rPr>
        <w:t xml:space="preserve"> subsecuentes.</w:t>
      </w:r>
    </w:p>
    <w:p w:rsidR="005C6384" w:rsidRDefault="005C6384" w:rsidP="00166CBB">
      <w:pPr>
        <w:pStyle w:val="Textoindependiente"/>
        <w:spacing w:before="120" w:after="120" w:line="360" w:lineRule="auto"/>
        <w:ind w:left="737"/>
        <w:jc w:val="both"/>
        <w:rPr>
          <w:rFonts w:cs="Arial"/>
          <w:sz w:val="24"/>
          <w:szCs w:val="24"/>
        </w:rPr>
      </w:pPr>
      <w:r w:rsidRPr="008B66BC">
        <w:rPr>
          <w:rFonts w:cs="Arial"/>
          <w:sz w:val="24"/>
          <w:szCs w:val="24"/>
        </w:rPr>
        <w:t xml:space="preserve">Las razones financieras </w:t>
      </w:r>
      <w:r w:rsidR="00BB7ADE">
        <w:rPr>
          <w:rFonts w:cs="Arial"/>
          <w:sz w:val="24"/>
          <w:szCs w:val="24"/>
        </w:rPr>
        <w:t>de las</w:t>
      </w:r>
      <w:r w:rsidRPr="008B66BC">
        <w:rPr>
          <w:rFonts w:cs="Arial"/>
          <w:sz w:val="24"/>
          <w:szCs w:val="24"/>
        </w:rPr>
        <w:t xml:space="preserve"> que se hace mención son las que se explican a continuación y </w:t>
      </w:r>
      <w:r w:rsidR="00BB7ADE">
        <w:rPr>
          <w:rFonts w:cs="Arial"/>
          <w:sz w:val="24"/>
          <w:szCs w:val="24"/>
        </w:rPr>
        <w:t>su fórmula</w:t>
      </w:r>
      <w:r w:rsidRPr="008B66BC">
        <w:rPr>
          <w:rFonts w:cs="Arial"/>
          <w:sz w:val="24"/>
          <w:szCs w:val="24"/>
        </w:rPr>
        <w:t xml:space="preserve"> será la que aparezca en</w:t>
      </w:r>
      <w:r w:rsidR="00C45EED" w:rsidRPr="00166CBB">
        <w:rPr>
          <w:rFonts w:cs="Arial"/>
          <w:sz w:val="24"/>
          <w:szCs w:val="24"/>
        </w:rPr>
        <w:t xml:space="preserve"> las bases</w:t>
      </w:r>
      <w:r w:rsidR="009D42E4" w:rsidRPr="00166CBB">
        <w:rPr>
          <w:rFonts w:cs="Arial"/>
          <w:sz w:val="24"/>
          <w:szCs w:val="24"/>
        </w:rPr>
        <w:t xml:space="preserve"> de la licitación</w:t>
      </w:r>
      <w:r w:rsidR="00C45EED" w:rsidRPr="00166CBB">
        <w:rPr>
          <w:rFonts w:cs="Arial"/>
          <w:sz w:val="24"/>
          <w:szCs w:val="24"/>
        </w:rPr>
        <w:t xml:space="preserve"> o invitación correspondientes</w:t>
      </w:r>
      <w:r w:rsidR="00BB7ADE" w:rsidRPr="00166CBB">
        <w:rPr>
          <w:rFonts w:cs="Arial"/>
          <w:sz w:val="24"/>
          <w:szCs w:val="24"/>
        </w:rPr>
        <w:t>, el resultado de la aplicación de las mismas se consignarán en</w:t>
      </w:r>
      <w:r w:rsidR="00BB7ADE" w:rsidRPr="008B66BC">
        <w:rPr>
          <w:rFonts w:cs="Arial"/>
          <w:sz w:val="24"/>
          <w:szCs w:val="24"/>
        </w:rPr>
        <w:t xml:space="preserve"> </w:t>
      </w:r>
      <w:r w:rsidRPr="008B66BC">
        <w:rPr>
          <w:rFonts w:cs="Arial"/>
          <w:sz w:val="24"/>
          <w:szCs w:val="24"/>
        </w:rPr>
        <w:t>los dic</w:t>
      </w:r>
      <w:r w:rsidR="00BB7ADE">
        <w:rPr>
          <w:rFonts w:cs="Arial"/>
          <w:sz w:val="24"/>
          <w:szCs w:val="24"/>
        </w:rPr>
        <w:t xml:space="preserve">támenes resolutivos financieros de cada licitación </w:t>
      </w:r>
      <w:r w:rsidR="00EF71CE">
        <w:rPr>
          <w:rFonts w:cs="Arial"/>
          <w:sz w:val="24"/>
          <w:szCs w:val="24"/>
        </w:rPr>
        <w:t>o</w:t>
      </w:r>
      <w:r w:rsidR="00BB7ADE">
        <w:rPr>
          <w:rFonts w:cs="Arial"/>
          <w:sz w:val="24"/>
          <w:szCs w:val="24"/>
        </w:rPr>
        <w:t xml:space="preserve"> invitación que se lleven a cabo</w:t>
      </w:r>
      <w:r w:rsidRPr="008B66BC">
        <w:rPr>
          <w:rFonts w:cs="Arial"/>
          <w:sz w:val="24"/>
          <w:szCs w:val="24"/>
        </w:rPr>
        <w:t>.</w:t>
      </w:r>
    </w:p>
    <w:p w:rsidR="00C72D14" w:rsidRPr="00490C22" w:rsidRDefault="00C72D14" w:rsidP="00490C22">
      <w:pPr>
        <w:spacing w:line="360" w:lineRule="auto"/>
        <w:ind w:right="48"/>
        <w:jc w:val="both"/>
        <w:rPr>
          <w:rFonts w:ascii="Arial" w:hAnsi="Arial" w:cs="Arial"/>
          <w:noProof/>
          <w:lang w:eastAsia="es-MX"/>
        </w:rPr>
      </w:pPr>
    </w:p>
    <w:tbl>
      <w:tblPr>
        <w:tblW w:w="0" w:type="auto"/>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559"/>
        <w:gridCol w:w="4124"/>
      </w:tblGrid>
      <w:tr w:rsidR="005C6384" w:rsidRPr="008B66BC" w:rsidTr="00A1504F">
        <w:trPr>
          <w:trHeight w:val="259"/>
          <w:jc w:val="center"/>
        </w:trPr>
        <w:tc>
          <w:tcPr>
            <w:tcW w:w="1667" w:type="dxa"/>
            <w:vMerge w:val="restart"/>
            <w:shd w:val="clear" w:color="auto" w:fill="F3F3F3"/>
            <w:vAlign w:val="center"/>
          </w:tcPr>
          <w:p w:rsidR="005C6384" w:rsidRPr="008B66BC" w:rsidRDefault="005C6384" w:rsidP="00A1504F">
            <w:pPr>
              <w:spacing w:line="360" w:lineRule="auto"/>
              <w:jc w:val="center"/>
              <w:rPr>
                <w:rFonts w:ascii="Arial" w:hAnsi="Arial" w:cs="Arial"/>
                <w:b/>
                <w:sz w:val="15"/>
                <w:szCs w:val="15"/>
              </w:rPr>
            </w:pPr>
            <w:r w:rsidRPr="008B66BC">
              <w:rPr>
                <w:rFonts w:ascii="Arial" w:hAnsi="Arial" w:cs="Arial"/>
                <w:b/>
                <w:sz w:val="15"/>
                <w:szCs w:val="15"/>
              </w:rPr>
              <w:t>Descripción</w:t>
            </w:r>
          </w:p>
        </w:tc>
        <w:tc>
          <w:tcPr>
            <w:tcW w:w="1559" w:type="dxa"/>
            <w:vMerge w:val="restart"/>
            <w:shd w:val="clear" w:color="auto" w:fill="F3F3F3"/>
            <w:vAlign w:val="center"/>
          </w:tcPr>
          <w:p w:rsidR="005C6384" w:rsidRPr="008B66BC" w:rsidRDefault="005C6384" w:rsidP="00A1504F">
            <w:pPr>
              <w:spacing w:line="360" w:lineRule="auto"/>
              <w:jc w:val="center"/>
              <w:rPr>
                <w:rFonts w:ascii="Arial" w:hAnsi="Arial" w:cs="Arial"/>
                <w:b/>
                <w:sz w:val="15"/>
                <w:szCs w:val="15"/>
              </w:rPr>
            </w:pPr>
            <w:r w:rsidRPr="008B66BC">
              <w:rPr>
                <w:rFonts w:ascii="Arial" w:hAnsi="Arial" w:cs="Arial"/>
                <w:b/>
                <w:sz w:val="15"/>
                <w:szCs w:val="15"/>
              </w:rPr>
              <w:t>Fórmula</w:t>
            </w:r>
          </w:p>
        </w:tc>
        <w:tc>
          <w:tcPr>
            <w:tcW w:w="4124" w:type="dxa"/>
            <w:vMerge w:val="restart"/>
            <w:shd w:val="clear" w:color="auto" w:fill="F3F3F3"/>
            <w:vAlign w:val="center"/>
          </w:tcPr>
          <w:p w:rsidR="005C6384" w:rsidRPr="008B66BC" w:rsidRDefault="005C6384" w:rsidP="00A1504F">
            <w:pPr>
              <w:spacing w:line="360" w:lineRule="auto"/>
              <w:jc w:val="center"/>
              <w:rPr>
                <w:rFonts w:ascii="Arial" w:hAnsi="Arial" w:cs="Arial"/>
                <w:b/>
                <w:sz w:val="15"/>
                <w:szCs w:val="15"/>
              </w:rPr>
            </w:pPr>
            <w:r w:rsidRPr="008B66BC">
              <w:rPr>
                <w:rFonts w:ascii="Arial" w:hAnsi="Arial" w:cs="Arial"/>
                <w:b/>
                <w:sz w:val="15"/>
                <w:szCs w:val="15"/>
              </w:rPr>
              <w:t>Interpretación</w:t>
            </w:r>
          </w:p>
        </w:tc>
      </w:tr>
      <w:tr w:rsidR="005C6384" w:rsidRPr="008B66BC" w:rsidTr="00A1504F">
        <w:trPr>
          <w:trHeight w:val="259"/>
          <w:jc w:val="center"/>
        </w:trPr>
        <w:tc>
          <w:tcPr>
            <w:tcW w:w="1667" w:type="dxa"/>
            <w:vMerge/>
            <w:shd w:val="clear" w:color="auto" w:fill="F3F3F3"/>
            <w:vAlign w:val="center"/>
          </w:tcPr>
          <w:p w:rsidR="005C6384" w:rsidRPr="008B66BC" w:rsidRDefault="005C6384" w:rsidP="00A1504F">
            <w:pPr>
              <w:spacing w:line="360" w:lineRule="auto"/>
              <w:jc w:val="center"/>
              <w:rPr>
                <w:rFonts w:ascii="Arial" w:hAnsi="Arial" w:cs="Arial"/>
                <w:b/>
                <w:sz w:val="15"/>
                <w:szCs w:val="15"/>
              </w:rPr>
            </w:pPr>
          </w:p>
        </w:tc>
        <w:tc>
          <w:tcPr>
            <w:tcW w:w="1559" w:type="dxa"/>
            <w:vMerge/>
            <w:shd w:val="clear" w:color="auto" w:fill="F3F3F3"/>
            <w:vAlign w:val="center"/>
          </w:tcPr>
          <w:p w:rsidR="005C6384" w:rsidRPr="008B66BC" w:rsidRDefault="005C6384" w:rsidP="00A1504F">
            <w:pPr>
              <w:spacing w:line="360" w:lineRule="auto"/>
              <w:jc w:val="center"/>
              <w:rPr>
                <w:rFonts w:ascii="Arial" w:hAnsi="Arial" w:cs="Arial"/>
                <w:b/>
                <w:sz w:val="15"/>
                <w:szCs w:val="15"/>
              </w:rPr>
            </w:pPr>
          </w:p>
        </w:tc>
        <w:tc>
          <w:tcPr>
            <w:tcW w:w="4124" w:type="dxa"/>
            <w:vMerge/>
            <w:tcBorders>
              <w:bottom w:val="single" w:sz="4" w:space="0" w:color="auto"/>
            </w:tcBorders>
            <w:shd w:val="clear" w:color="auto" w:fill="F3F3F3"/>
            <w:vAlign w:val="center"/>
          </w:tcPr>
          <w:p w:rsidR="005C6384" w:rsidRPr="008B66BC" w:rsidRDefault="005C6384" w:rsidP="00A1504F">
            <w:pPr>
              <w:spacing w:line="360" w:lineRule="auto"/>
              <w:jc w:val="center"/>
              <w:rPr>
                <w:rFonts w:ascii="Arial" w:hAnsi="Arial" w:cs="Arial"/>
                <w:b/>
                <w:sz w:val="15"/>
                <w:szCs w:val="15"/>
              </w:rPr>
            </w:pPr>
          </w:p>
        </w:tc>
      </w:tr>
      <w:tr w:rsidR="005C6384" w:rsidRPr="008B66BC" w:rsidTr="00A1504F">
        <w:trPr>
          <w:jc w:val="center"/>
        </w:trPr>
        <w:tc>
          <w:tcPr>
            <w:tcW w:w="1667"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 xml:space="preserve">Liquidez </w:t>
            </w:r>
          </w:p>
        </w:tc>
        <w:tc>
          <w:tcPr>
            <w:tcW w:w="1559"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AC / PC</w:t>
            </w:r>
          </w:p>
        </w:tc>
        <w:tc>
          <w:tcPr>
            <w:tcW w:w="4124" w:type="dxa"/>
            <w:shd w:val="clear" w:color="auto" w:fill="auto"/>
            <w:vAlign w:val="center"/>
          </w:tcPr>
          <w:p w:rsidR="005C6384" w:rsidRPr="008B66BC" w:rsidRDefault="005C6384" w:rsidP="00A1504F">
            <w:pPr>
              <w:spacing w:line="360" w:lineRule="auto"/>
              <w:jc w:val="both"/>
              <w:rPr>
                <w:rFonts w:ascii="Arial" w:hAnsi="Arial" w:cs="Arial"/>
                <w:sz w:val="15"/>
                <w:szCs w:val="15"/>
              </w:rPr>
            </w:pPr>
            <w:r w:rsidRPr="008B66BC">
              <w:rPr>
                <w:rFonts w:ascii="Arial" w:hAnsi="Arial" w:cs="Arial"/>
                <w:sz w:val="15"/>
                <w:szCs w:val="15"/>
              </w:rPr>
              <w:t>Capacidad de la empresa para cubrir sus deudas y obligaciones a corto plazo.</w:t>
            </w:r>
          </w:p>
        </w:tc>
      </w:tr>
      <w:tr w:rsidR="005C6384" w:rsidRPr="008B66BC" w:rsidTr="00A1504F">
        <w:trPr>
          <w:jc w:val="center"/>
        </w:trPr>
        <w:tc>
          <w:tcPr>
            <w:tcW w:w="1667"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Solvencia</w:t>
            </w:r>
          </w:p>
        </w:tc>
        <w:tc>
          <w:tcPr>
            <w:tcW w:w="1559"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PT / AT</w:t>
            </w:r>
          </w:p>
        </w:tc>
        <w:tc>
          <w:tcPr>
            <w:tcW w:w="4124" w:type="dxa"/>
            <w:shd w:val="clear" w:color="auto" w:fill="auto"/>
            <w:vAlign w:val="center"/>
          </w:tcPr>
          <w:p w:rsidR="005C6384" w:rsidRPr="008B66BC" w:rsidRDefault="005C6384" w:rsidP="00A1504F">
            <w:pPr>
              <w:spacing w:line="360" w:lineRule="auto"/>
              <w:jc w:val="both"/>
              <w:rPr>
                <w:rFonts w:ascii="Arial" w:hAnsi="Arial" w:cs="Arial"/>
                <w:sz w:val="15"/>
                <w:szCs w:val="15"/>
              </w:rPr>
            </w:pPr>
            <w:r w:rsidRPr="008B66BC">
              <w:rPr>
                <w:rFonts w:ascii="Arial" w:hAnsi="Arial" w:cs="Arial"/>
                <w:sz w:val="15"/>
                <w:szCs w:val="15"/>
              </w:rPr>
              <w:t>Corresponde al grado de financiamiento externo recibido.</w:t>
            </w:r>
          </w:p>
        </w:tc>
      </w:tr>
      <w:tr w:rsidR="005C6384" w:rsidRPr="008B66BC" w:rsidTr="00A1504F">
        <w:trPr>
          <w:jc w:val="center"/>
        </w:trPr>
        <w:tc>
          <w:tcPr>
            <w:tcW w:w="1667"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Apalancamiento</w:t>
            </w:r>
          </w:p>
        </w:tc>
        <w:tc>
          <w:tcPr>
            <w:tcW w:w="1559" w:type="dxa"/>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PT / CC</w:t>
            </w:r>
          </w:p>
        </w:tc>
        <w:tc>
          <w:tcPr>
            <w:tcW w:w="4124" w:type="dxa"/>
            <w:shd w:val="clear" w:color="auto" w:fill="auto"/>
            <w:vAlign w:val="center"/>
          </w:tcPr>
          <w:p w:rsidR="005C6384" w:rsidRPr="008B66BC" w:rsidRDefault="005C6384" w:rsidP="00A1504F">
            <w:pPr>
              <w:spacing w:line="360" w:lineRule="auto"/>
              <w:jc w:val="both"/>
              <w:rPr>
                <w:rFonts w:ascii="Arial" w:hAnsi="Arial" w:cs="Arial"/>
                <w:sz w:val="15"/>
                <w:szCs w:val="15"/>
              </w:rPr>
            </w:pPr>
            <w:r w:rsidRPr="008B66BC">
              <w:rPr>
                <w:rFonts w:ascii="Arial" w:hAnsi="Arial" w:cs="Arial"/>
                <w:sz w:val="15"/>
                <w:szCs w:val="15"/>
              </w:rPr>
              <w:t>Proporción que existe entre el capital ajeno y el propio.</w:t>
            </w:r>
          </w:p>
        </w:tc>
      </w:tr>
      <w:tr w:rsidR="005C6384" w:rsidRPr="008B66BC" w:rsidTr="00A1504F">
        <w:trPr>
          <w:jc w:val="center"/>
        </w:trPr>
        <w:tc>
          <w:tcPr>
            <w:tcW w:w="1667" w:type="dxa"/>
            <w:tcBorders>
              <w:bottom w:val="single" w:sz="4" w:space="0" w:color="auto"/>
            </w:tcBorders>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Capital de Trabajo</w:t>
            </w:r>
          </w:p>
        </w:tc>
        <w:tc>
          <w:tcPr>
            <w:tcW w:w="1559" w:type="dxa"/>
            <w:tcBorders>
              <w:bottom w:val="single" w:sz="4" w:space="0" w:color="auto"/>
            </w:tcBorders>
            <w:vAlign w:val="center"/>
          </w:tcPr>
          <w:p w:rsidR="005C6384" w:rsidRPr="008B66BC" w:rsidRDefault="005C6384" w:rsidP="00A1504F">
            <w:pPr>
              <w:spacing w:line="360" w:lineRule="auto"/>
              <w:rPr>
                <w:rFonts w:ascii="Arial" w:hAnsi="Arial" w:cs="Arial"/>
                <w:sz w:val="15"/>
                <w:szCs w:val="15"/>
              </w:rPr>
            </w:pPr>
            <w:r w:rsidRPr="008B66BC">
              <w:rPr>
                <w:rFonts w:ascii="Arial" w:hAnsi="Arial" w:cs="Arial"/>
                <w:sz w:val="15"/>
                <w:szCs w:val="15"/>
              </w:rPr>
              <w:t>AC - PC</w:t>
            </w:r>
          </w:p>
        </w:tc>
        <w:tc>
          <w:tcPr>
            <w:tcW w:w="4124" w:type="dxa"/>
            <w:tcBorders>
              <w:bottom w:val="single" w:sz="4" w:space="0" w:color="auto"/>
            </w:tcBorders>
            <w:shd w:val="clear" w:color="auto" w:fill="auto"/>
            <w:vAlign w:val="center"/>
          </w:tcPr>
          <w:p w:rsidR="005C6384" w:rsidRPr="008B66BC" w:rsidRDefault="005C6384" w:rsidP="00A1504F">
            <w:pPr>
              <w:spacing w:line="360" w:lineRule="auto"/>
              <w:jc w:val="both"/>
              <w:rPr>
                <w:rFonts w:ascii="Arial" w:hAnsi="Arial" w:cs="Arial"/>
                <w:sz w:val="15"/>
                <w:szCs w:val="15"/>
              </w:rPr>
            </w:pPr>
            <w:r w:rsidRPr="008B66BC">
              <w:rPr>
                <w:rFonts w:ascii="Arial" w:hAnsi="Arial" w:cs="Arial"/>
                <w:sz w:val="15"/>
                <w:szCs w:val="15"/>
              </w:rPr>
              <w:t>Cantidad de recursos con los que cuenta la empresa para realizar sus operaciones normales, después de cubrir sus obligaciones a corto plazo.</w:t>
            </w:r>
          </w:p>
        </w:tc>
      </w:tr>
      <w:tr w:rsidR="005C6384" w:rsidRPr="008B66BC" w:rsidTr="005C6384">
        <w:trPr>
          <w:jc w:val="center"/>
        </w:trPr>
        <w:tc>
          <w:tcPr>
            <w:tcW w:w="7350" w:type="dxa"/>
            <w:gridSpan w:val="3"/>
            <w:vAlign w:val="center"/>
          </w:tcPr>
          <w:p w:rsidR="00A1504F" w:rsidRDefault="005C6384" w:rsidP="00F24FB8">
            <w:pPr>
              <w:spacing w:line="360" w:lineRule="auto"/>
              <w:ind w:left="1134" w:hanging="1008"/>
              <w:rPr>
                <w:rFonts w:ascii="Arial" w:hAnsi="Arial" w:cs="Arial"/>
                <w:b/>
                <w:sz w:val="13"/>
                <w:szCs w:val="13"/>
                <w:u w:val="single"/>
              </w:rPr>
            </w:pPr>
            <w:r w:rsidRPr="008B66BC">
              <w:rPr>
                <w:rFonts w:ascii="Arial" w:hAnsi="Arial" w:cs="Arial"/>
                <w:b/>
                <w:sz w:val="13"/>
                <w:szCs w:val="13"/>
                <w:u w:val="single"/>
              </w:rPr>
              <w:t>Abreviaturas utilizadas:</w:t>
            </w:r>
          </w:p>
          <w:p w:rsidR="005C6384" w:rsidRPr="00A1504F" w:rsidRDefault="005C6384" w:rsidP="00F24FB8">
            <w:pPr>
              <w:spacing w:line="360" w:lineRule="auto"/>
              <w:ind w:left="1134" w:hanging="1009"/>
              <w:rPr>
                <w:rFonts w:ascii="Arial" w:hAnsi="Arial" w:cs="Arial"/>
                <w:b/>
                <w:sz w:val="13"/>
                <w:szCs w:val="13"/>
                <w:u w:val="single"/>
              </w:rPr>
            </w:pPr>
            <w:r w:rsidRPr="008B66BC">
              <w:rPr>
                <w:rFonts w:ascii="Arial" w:hAnsi="Arial" w:cs="Arial"/>
                <w:sz w:val="13"/>
                <w:szCs w:val="13"/>
              </w:rPr>
              <w:t xml:space="preserve">AC= Activo </w:t>
            </w:r>
            <w:r w:rsidR="00C56664">
              <w:rPr>
                <w:rFonts w:ascii="Arial" w:hAnsi="Arial" w:cs="Arial"/>
                <w:sz w:val="13"/>
                <w:szCs w:val="13"/>
              </w:rPr>
              <w:t>C</w:t>
            </w:r>
            <w:r w:rsidRPr="008B66BC">
              <w:rPr>
                <w:rFonts w:ascii="Arial" w:hAnsi="Arial" w:cs="Arial"/>
                <w:sz w:val="13"/>
                <w:szCs w:val="13"/>
              </w:rPr>
              <w:t>irculante.</w:t>
            </w:r>
            <w:r w:rsidR="00F24FB8">
              <w:rPr>
                <w:rFonts w:ascii="Arial" w:hAnsi="Arial" w:cs="Arial"/>
                <w:sz w:val="13"/>
                <w:szCs w:val="13"/>
              </w:rPr>
              <w:tab/>
            </w:r>
            <w:r w:rsidR="00F24FB8">
              <w:rPr>
                <w:rFonts w:ascii="Arial" w:hAnsi="Arial" w:cs="Arial"/>
                <w:sz w:val="13"/>
                <w:szCs w:val="13"/>
              </w:rPr>
              <w:tab/>
            </w:r>
            <w:r w:rsidR="00F24FB8" w:rsidRPr="00F24FB8">
              <w:rPr>
                <w:rFonts w:ascii="Arial" w:hAnsi="Arial" w:cs="Arial"/>
                <w:sz w:val="13"/>
                <w:szCs w:val="13"/>
              </w:rPr>
              <w:t xml:space="preserve">PC= Pasivo </w:t>
            </w:r>
            <w:r w:rsidR="00C56664">
              <w:rPr>
                <w:rFonts w:ascii="Arial" w:hAnsi="Arial" w:cs="Arial"/>
                <w:sz w:val="13"/>
                <w:szCs w:val="13"/>
              </w:rPr>
              <w:t>C</w:t>
            </w:r>
            <w:r w:rsidR="00F24FB8" w:rsidRPr="00F24FB8">
              <w:rPr>
                <w:rFonts w:ascii="Arial" w:hAnsi="Arial" w:cs="Arial"/>
                <w:sz w:val="13"/>
                <w:szCs w:val="13"/>
              </w:rPr>
              <w:t>irculante.</w:t>
            </w:r>
            <w:r w:rsidR="00F24FB8">
              <w:rPr>
                <w:rFonts w:ascii="Arial" w:hAnsi="Arial" w:cs="Arial"/>
                <w:sz w:val="13"/>
                <w:szCs w:val="13"/>
              </w:rPr>
              <w:tab/>
            </w:r>
            <w:r w:rsidR="00F24FB8">
              <w:rPr>
                <w:rFonts w:ascii="Arial" w:hAnsi="Arial" w:cs="Arial"/>
                <w:sz w:val="13"/>
                <w:szCs w:val="13"/>
              </w:rPr>
              <w:tab/>
            </w:r>
            <w:r w:rsidR="00F24FB8" w:rsidRPr="00F24FB8">
              <w:rPr>
                <w:rFonts w:ascii="Arial" w:hAnsi="Arial" w:cs="Arial"/>
                <w:sz w:val="13"/>
                <w:szCs w:val="13"/>
              </w:rPr>
              <w:t>CC= Capital Contable.</w:t>
            </w:r>
            <w:r w:rsidR="00F24FB8">
              <w:rPr>
                <w:rFonts w:ascii="Arial" w:hAnsi="Arial" w:cs="Arial"/>
                <w:sz w:val="13"/>
                <w:szCs w:val="13"/>
              </w:rPr>
              <w:tab/>
            </w:r>
            <w:r w:rsidR="00F24FB8">
              <w:rPr>
                <w:rFonts w:ascii="Arial" w:hAnsi="Arial" w:cs="Arial"/>
                <w:sz w:val="13"/>
                <w:szCs w:val="13"/>
              </w:rPr>
              <w:tab/>
            </w:r>
            <w:r w:rsidR="00F24FB8" w:rsidRPr="00F24FB8">
              <w:rPr>
                <w:rFonts w:ascii="Arial" w:hAnsi="Arial" w:cs="Arial"/>
                <w:sz w:val="13"/>
                <w:szCs w:val="13"/>
              </w:rPr>
              <w:t>AT= Activo Total.</w:t>
            </w:r>
          </w:p>
          <w:p w:rsidR="005C6384" w:rsidRPr="008B66BC" w:rsidRDefault="005C6384" w:rsidP="00F24FB8">
            <w:pPr>
              <w:spacing w:line="360" w:lineRule="auto"/>
              <w:ind w:left="1134" w:hanging="1008"/>
              <w:rPr>
                <w:rFonts w:ascii="Arial" w:hAnsi="Arial" w:cs="Arial"/>
                <w:sz w:val="13"/>
                <w:szCs w:val="13"/>
              </w:rPr>
            </w:pPr>
            <w:r w:rsidRPr="008B66BC">
              <w:rPr>
                <w:rFonts w:ascii="Arial" w:hAnsi="Arial" w:cs="Arial"/>
                <w:sz w:val="13"/>
                <w:szCs w:val="13"/>
              </w:rPr>
              <w:t>PT= Pasivo Total.</w:t>
            </w:r>
          </w:p>
        </w:tc>
      </w:tr>
      <w:tr w:rsidR="00A81B5E" w:rsidRPr="008B66BC" w:rsidTr="005C6384">
        <w:trPr>
          <w:jc w:val="center"/>
        </w:trPr>
        <w:tc>
          <w:tcPr>
            <w:tcW w:w="7350" w:type="dxa"/>
            <w:gridSpan w:val="3"/>
            <w:vAlign w:val="center"/>
          </w:tcPr>
          <w:p w:rsidR="00A81B5E" w:rsidRPr="00A81B5E" w:rsidRDefault="00A81B5E" w:rsidP="00F76792">
            <w:pPr>
              <w:spacing w:line="360" w:lineRule="auto"/>
              <w:ind w:left="964" w:hanging="1008"/>
              <w:rPr>
                <w:rFonts w:ascii="Arial" w:hAnsi="Arial" w:cs="Arial"/>
                <w:b/>
                <w:sz w:val="13"/>
                <w:szCs w:val="13"/>
              </w:rPr>
            </w:pPr>
            <w:r w:rsidRPr="00A81B5E">
              <w:rPr>
                <w:rFonts w:ascii="Arial" w:hAnsi="Arial" w:cs="Arial"/>
                <w:b/>
                <w:sz w:val="13"/>
                <w:szCs w:val="13"/>
              </w:rPr>
              <w:t>Fuente:</w:t>
            </w:r>
            <w:r>
              <w:rPr>
                <w:rFonts w:ascii="Arial" w:hAnsi="Arial" w:cs="Arial"/>
                <w:b/>
                <w:sz w:val="13"/>
                <w:szCs w:val="13"/>
              </w:rPr>
              <w:t xml:space="preserve"> </w:t>
            </w:r>
            <w:r w:rsidR="00F76792">
              <w:rPr>
                <w:rFonts w:ascii="Arial" w:hAnsi="Arial" w:cs="Arial"/>
                <w:b/>
                <w:sz w:val="13"/>
                <w:szCs w:val="13"/>
              </w:rPr>
              <w:t xml:space="preserve">NIF A-3, </w:t>
            </w:r>
            <w:r>
              <w:rPr>
                <w:rFonts w:ascii="Arial" w:hAnsi="Arial" w:cs="Arial"/>
                <w:b/>
                <w:sz w:val="13"/>
                <w:szCs w:val="13"/>
              </w:rPr>
              <w:t>Apéndice C Indicadores Financieros</w:t>
            </w:r>
            <w:r w:rsidR="00F76792">
              <w:rPr>
                <w:rFonts w:ascii="Arial" w:hAnsi="Arial" w:cs="Arial"/>
                <w:b/>
                <w:sz w:val="13"/>
                <w:szCs w:val="13"/>
              </w:rPr>
              <w:t>,</w:t>
            </w:r>
            <w:r>
              <w:rPr>
                <w:rFonts w:ascii="Arial" w:hAnsi="Arial" w:cs="Arial"/>
                <w:b/>
                <w:sz w:val="13"/>
                <w:szCs w:val="13"/>
              </w:rPr>
              <w:t xml:space="preserve"> de las Normas de Información Financiera (NIF).</w:t>
            </w:r>
            <w:r w:rsidRPr="00A81B5E">
              <w:rPr>
                <w:rFonts w:ascii="Arial" w:hAnsi="Arial" w:cs="Arial"/>
                <w:b/>
                <w:sz w:val="13"/>
                <w:szCs w:val="13"/>
              </w:rPr>
              <w:t xml:space="preserve"> </w:t>
            </w:r>
          </w:p>
        </w:tc>
      </w:tr>
    </w:tbl>
    <w:p w:rsidR="00490C22" w:rsidRDefault="00490C22" w:rsidP="00490C22">
      <w:pPr>
        <w:spacing w:line="360" w:lineRule="auto"/>
        <w:ind w:right="48"/>
        <w:jc w:val="both"/>
        <w:rPr>
          <w:rFonts w:ascii="Arial" w:hAnsi="Arial" w:cs="Arial"/>
          <w:noProof/>
          <w:lang w:eastAsia="es-MX"/>
        </w:rPr>
      </w:pPr>
    </w:p>
    <w:p w:rsidR="00490C22" w:rsidRDefault="00490C22" w:rsidP="00490C22">
      <w:pPr>
        <w:spacing w:line="360" w:lineRule="auto"/>
        <w:ind w:right="48"/>
        <w:jc w:val="both"/>
        <w:rPr>
          <w:rFonts w:ascii="Arial" w:hAnsi="Arial" w:cs="Arial"/>
          <w:noProof/>
          <w:lang w:eastAsia="es-MX"/>
        </w:rPr>
      </w:pPr>
    </w:p>
    <w:p w:rsidR="008D3DC3" w:rsidRDefault="005C6384" w:rsidP="003A5FB6">
      <w:pPr>
        <w:pStyle w:val="Textoindependiente"/>
        <w:numPr>
          <w:ilvl w:val="0"/>
          <w:numId w:val="13"/>
        </w:numPr>
        <w:tabs>
          <w:tab w:val="left" w:pos="900"/>
        </w:tabs>
        <w:spacing w:before="120" w:after="120" w:line="360" w:lineRule="auto"/>
        <w:jc w:val="both"/>
        <w:rPr>
          <w:rFonts w:cs="Arial"/>
          <w:sz w:val="24"/>
          <w:szCs w:val="24"/>
        </w:rPr>
      </w:pPr>
      <w:r w:rsidRPr="008B66BC">
        <w:rPr>
          <w:rFonts w:cs="Arial"/>
          <w:sz w:val="24"/>
          <w:szCs w:val="24"/>
        </w:rPr>
        <w:t xml:space="preserve">En cumplimiento a lo establecido en la parte final de la fracción II y el último párrafo del artículo 63 del Acuerdo General, la solvencia financiera de los proveedores, prestadores de servicio o contratistas, participantes en los procedimientos de Licitación Pública Nacional e Invitación a cuando menos tres proveedores o contratistas, </w:t>
      </w:r>
      <w:r w:rsidR="003D4696">
        <w:rPr>
          <w:rFonts w:cs="Arial"/>
          <w:sz w:val="24"/>
          <w:szCs w:val="24"/>
        </w:rPr>
        <w:t>podrá</w:t>
      </w:r>
      <w:r w:rsidRPr="008B66BC">
        <w:rPr>
          <w:rFonts w:cs="Arial"/>
          <w:sz w:val="24"/>
          <w:szCs w:val="24"/>
        </w:rPr>
        <w:t xml:space="preserve"> acreditarse cumpliendo con los siguientes parámetros, mismos</w:t>
      </w:r>
      <w:r w:rsidR="003D4696">
        <w:rPr>
          <w:rFonts w:cs="Arial"/>
          <w:sz w:val="24"/>
          <w:szCs w:val="24"/>
        </w:rPr>
        <w:t xml:space="preserve"> que</w:t>
      </w:r>
      <w:r w:rsidRPr="008B66BC">
        <w:rPr>
          <w:rFonts w:cs="Arial"/>
          <w:sz w:val="24"/>
          <w:szCs w:val="24"/>
        </w:rPr>
        <w:t xml:space="preserve"> </w:t>
      </w:r>
      <w:r w:rsidR="003D4696">
        <w:rPr>
          <w:rFonts w:cs="Arial"/>
          <w:sz w:val="24"/>
          <w:szCs w:val="24"/>
        </w:rPr>
        <w:t>deber</w:t>
      </w:r>
      <w:r w:rsidR="008627FC">
        <w:rPr>
          <w:rFonts w:cs="Arial"/>
          <w:sz w:val="24"/>
          <w:szCs w:val="24"/>
        </w:rPr>
        <w:t>á</w:t>
      </w:r>
      <w:r w:rsidR="003D4696">
        <w:rPr>
          <w:rFonts w:cs="Arial"/>
          <w:sz w:val="24"/>
          <w:szCs w:val="24"/>
        </w:rPr>
        <w:t>n</w:t>
      </w:r>
      <w:r w:rsidR="00C56664">
        <w:rPr>
          <w:rFonts w:cs="Arial"/>
          <w:sz w:val="24"/>
          <w:szCs w:val="24"/>
        </w:rPr>
        <w:t xml:space="preserve"> consignarse</w:t>
      </w:r>
      <w:r w:rsidRPr="008B66BC">
        <w:rPr>
          <w:rFonts w:cs="Arial"/>
          <w:sz w:val="24"/>
          <w:szCs w:val="24"/>
        </w:rPr>
        <w:t xml:space="preserve"> en las bases</w:t>
      </w:r>
      <w:r w:rsidR="00C56664">
        <w:rPr>
          <w:rFonts w:cs="Arial"/>
          <w:sz w:val="24"/>
          <w:szCs w:val="24"/>
        </w:rPr>
        <w:t xml:space="preserve"> de la licitación</w:t>
      </w:r>
      <w:r w:rsidRPr="008B66BC">
        <w:rPr>
          <w:rFonts w:cs="Arial"/>
          <w:sz w:val="24"/>
          <w:szCs w:val="24"/>
        </w:rPr>
        <w:t xml:space="preserve"> o invitación correspondientes:</w:t>
      </w:r>
    </w:p>
    <w:p w:rsidR="008D3DC3" w:rsidRPr="008D3DC3" w:rsidRDefault="005C6384" w:rsidP="003A5FB6">
      <w:pPr>
        <w:pStyle w:val="Textoindependiente"/>
        <w:numPr>
          <w:ilvl w:val="0"/>
          <w:numId w:val="4"/>
        </w:numPr>
        <w:tabs>
          <w:tab w:val="left" w:pos="1134"/>
        </w:tabs>
        <w:spacing w:before="120" w:after="120" w:line="360" w:lineRule="auto"/>
        <w:ind w:hanging="153"/>
        <w:jc w:val="both"/>
        <w:rPr>
          <w:rFonts w:cs="Arial"/>
          <w:sz w:val="24"/>
          <w:szCs w:val="24"/>
        </w:rPr>
      </w:pPr>
      <w:r w:rsidRPr="008D3DC3">
        <w:rPr>
          <w:rFonts w:cs="Arial"/>
          <w:sz w:val="24"/>
          <w:szCs w:val="24"/>
        </w:rPr>
        <w:t>En materia de obra pública y los servicios relacionados con la misma:</w:t>
      </w:r>
    </w:p>
    <w:p w:rsidR="00C51BC7" w:rsidRDefault="005C6384" w:rsidP="003A5FB6">
      <w:pPr>
        <w:pStyle w:val="Textoindependiente"/>
        <w:numPr>
          <w:ilvl w:val="1"/>
          <w:numId w:val="4"/>
        </w:numPr>
        <w:tabs>
          <w:tab w:val="left" w:pos="1843"/>
        </w:tabs>
        <w:spacing w:before="120" w:after="120" w:line="360" w:lineRule="auto"/>
        <w:ind w:left="1843" w:hanging="709"/>
        <w:jc w:val="both"/>
        <w:rPr>
          <w:rFonts w:cs="Arial"/>
          <w:sz w:val="24"/>
          <w:szCs w:val="24"/>
        </w:rPr>
      </w:pPr>
      <w:r w:rsidRPr="008D3DC3">
        <w:rPr>
          <w:rFonts w:cs="Arial"/>
          <w:sz w:val="24"/>
          <w:szCs w:val="24"/>
        </w:rPr>
        <w:t>Tratándose de ejecución de obra pública</w:t>
      </w:r>
      <w:r w:rsidR="00C51BC7">
        <w:rPr>
          <w:rFonts w:cs="Arial"/>
          <w:sz w:val="24"/>
          <w:szCs w:val="24"/>
        </w:rPr>
        <w:t>;</w:t>
      </w:r>
    </w:p>
    <w:p w:rsidR="005C6384" w:rsidRDefault="005C6384" w:rsidP="00F53F40">
      <w:pPr>
        <w:pStyle w:val="Textoindependiente"/>
        <w:numPr>
          <w:ilvl w:val="2"/>
          <w:numId w:val="4"/>
        </w:numPr>
        <w:tabs>
          <w:tab w:val="left" w:pos="1843"/>
        </w:tabs>
        <w:spacing w:before="120" w:after="120" w:line="360" w:lineRule="auto"/>
        <w:jc w:val="both"/>
        <w:rPr>
          <w:rFonts w:cs="Arial"/>
          <w:sz w:val="24"/>
          <w:szCs w:val="24"/>
        </w:rPr>
      </w:pPr>
      <w:r w:rsidRPr="008D3DC3">
        <w:rPr>
          <w:rFonts w:cs="Arial"/>
          <w:sz w:val="24"/>
          <w:szCs w:val="24"/>
        </w:rPr>
        <w:t>cuando su costo sea inferior a $10 millones de pesos se aplicar</w:t>
      </w:r>
      <w:r w:rsidR="0093786A">
        <w:rPr>
          <w:rFonts w:cs="Arial"/>
          <w:sz w:val="24"/>
          <w:szCs w:val="24"/>
        </w:rPr>
        <w:t>á</w:t>
      </w:r>
      <w:r w:rsidRPr="008D3DC3">
        <w:rPr>
          <w:rFonts w:cs="Arial"/>
          <w:sz w:val="24"/>
          <w:szCs w:val="24"/>
        </w:rPr>
        <w:t xml:space="preserve"> la siguiente:</w:t>
      </w:r>
    </w:p>
    <w:p w:rsidR="00F53F40" w:rsidRDefault="00F53F40" w:rsidP="00F53F40">
      <w:pPr>
        <w:pStyle w:val="Textoindependiente"/>
        <w:tabs>
          <w:tab w:val="left" w:pos="1843"/>
        </w:tabs>
        <w:spacing w:before="120" w:after="120"/>
        <w:ind w:left="2340"/>
        <w:jc w:val="both"/>
        <w:rPr>
          <w:rFonts w:cs="Arial"/>
          <w:sz w:val="24"/>
          <w:szCs w:val="24"/>
        </w:rPr>
      </w:pP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25"/>
        <w:gridCol w:w="1560"/>
        <w:gridCol w:w="1559"/>
        <w:gridCol w:w="1832"/>
      </w:tblGrid>
      <w:tr w:rsidR="005C6384" w:rsidRPr="008B66BC" w:rsidTr="00777066">
        <w:trPr>
          <w:jc w:val="center"/>
        </w:trPr>
        <w:tc>
          <w:tcPr>
            <w:tcW w:w="1668" w:type="dxa"/>
            <w:vMerge w:val="restart"/>
            <w:shd w:val="clear" w:color="auto" w:fill="F3F3F3"/>
            <w:vAlign w:val="center"/>
          </w:tcPr>
          <w:p w:rsidR="005C6384" w:rsidRPr="008B66BC" w:rsidRDefault="005C6384" w:rsidP="00DB41C9">
            <w:pPr>
              <w:spacing w:line="360" w:lineRule="auto"/>
              <w:jc w:val="center"/>
              <w:rPr>
                <w:rFonts w:ascii="Arial" w:hAnsi="Arial" w:cs="Arial"/>
                <w:b/>
                <w:sz w:val="15"/>
                <w:szCs w:val="15"/>
              </w:rPr>
            </w:pPr>
            <w:r w:rsidRPr="008B66BC">
              <w:rPr>
                <w:rFonts w:ascii="Arial" w:hAnsi="Arial" w:cs="Arial"/>
                <w:b/>
                <w:sz w:val="15"/>
                <w:szCs w:val="15"/>
              </w:rPr>
              <w:t>Descripción</w:t>
            </w:r>
          </w:p>
        </w:tc>
        <w:tc>
          <w:tcPr>
            <w:tcW w:w="1425" w:type="dxa"/>
            <w:vMerge w:val="restart"/>
            <w:shd w:val="clear" w:color="auto" w:fill="F3F3F3"/>
            <w:vAlign w:val="center"/>
          </w:tcPr>
          <w:p w:rsidR="005C6384" w:rsidRPr="008B66BC" w:rsidRDefault="005C6384" w:rsidP="00DB41C9">
            <w:pPr>
              <w:spacing w:line="360" w:lineRule="auto"/>
              <w:jc w:val="center"/>
              <w:rPr>
                <w:rFonts w:ascii="Arial" w:hAnsi="Arial" w:cs="Arial"/>
                <w:b/>
                <w:sz w:val="15"/>
                <w:szCs w:val="15"/>
              </w:rPr>
            </w:pPr>
            <w:r w:rsidRPr="008B66BC">
              <w:rPr>
                <w:rFonts w:ascii="Arial" w:hAnsi="Arial" w:cs="Arial"/>
                <w:b/>
                <w:sz w:val="15"/>
                <w:szCs w:val="15"/>
              </w:rPr>
              <w:t>Fórmula</w:t>
            </w:r>
          </w:p>
        </w:tc>
        <w:tc>
          <w:tcPr>
            <w:tcW w:w="4951" w:type="dxa"/>
            <w:gridSpan w:val="3"/>
            <w:shd w:val="clear" w:color="auto" w:fill="F3F3F3"/>
            <w:vAlign w:val="center"/>
          </w:tcPr>
          <w:p w:rsidR="005C6384" w:rsidRPr="008B66BC" w:rsidRDefault="005C6384" w:rsidP="00777066">
            <w:pPr>
              <w:spacing w:line="360" w:lineRule="auto"/>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777066">
        <w:trPr>
          <w:trHeight w:val="311"/>
          <w:jc w:val="center"/>
        </w:trPr>
        <w:tc>
          <w:tcPr>
            <w:tcW w:w="1668" w:type="dxa"/>
            <w:vMerge/>
            <w:shd w:val="clear" w:color="auto" w:fill="F3F3F3"/>
            <w:vAlign w:val="center"/>
          </w:tcPr>
          <w:p w:rsidR="005C6384" w:rsidRPr="008B66BC" w:rsidRDefault="005C6384" w:rsidP="00DB41C9">
            <w:pPr>
              <w:spacing w:line="360" w:lineRule="auto"/>
              <w:jc w:val="center"/>
              <w:rPr>
                <w:rFonts w:ascii="Arial" w:hAnsi="Arial" w:cs="Arial"/>
                <w:b/>
                <w:sz w:val="15"/>
                <w:szCs w:val="15"/>
              </w:rPr>
            </w:pPr>
          </w:p>
        </w:tc>
        <w:tc>
          <w:tcPr>
            <w:tcW w:w="1425" w:type="dxa"/>
            <w:vMerge/>
            <w:shd w:val="clear" w:color="auto" w:fill="F3F3F3"/>
            <w:vAlign w:val="center"/>
          </w:tcPr>
          <w:p w:rsidR="005C6384" w:rsidRPr="008B66BC" w:rsidRDefault="005C6384" w:rsidP="00DB41C9">
            <w:pPr>
              <w:spacing w:line="360" w:lineRule="auto"/>
              <w:jc w:val="center"/>
              <w:rPr>
                <w:rFonts w:ascii="Arial" w:hAnsi="Arial" w:cs="Arial"/>
                <w:b/>
                <w:sz w:val="15"/>
                <w:szCs w:val="15"/>
              </w:rPr>
            </w:pPr>
          </w:p>
        </w:tc>
        <w:tc>
          <w:tcPr>
            <w:tcW w:w="1560" w:type="dxa"/>
            <w:shd w:val="clear" w:color="auto" w:fill="F3F3F3"/>
            <w:vAlign w:val="center"/>
          </w:tcPr>
          <w:p w:rsidR="005C6384" w:rsidRPr="008B66BC" w:rsidRDefault="005C6384" w:rsidP="00777066">
            <w:pPr>
              <w:spacing w:line="360" w:lineRule="auto"/>
              <w:jc w:val="center"/>
              <w:rPr>
                <w:rFonts w:ascii="Arial" w:hAnsi="Arial" w:cs="Arial"/>
                <w:b/>
                <w:sz w:val="15"/>
                <w:szCs w:val="15"/>
              </w:rPr>
            </w:pPr>
            <w:r w:rsidRPr="008B66BC">
              <w:rPr>
                <w:rFonts w:ascii="Arial" w:hAnsi="Arial" w:cs="Arial"/>
                <w:b/>
                <w:sz w:val="15"/>
                <w:szCs w:val="15"/>
              </w:rPr>
              <w:t>Aceptable</w:t>
            </w:r>
          </w:p>
        </w:tc>
        <w:tc>
          <w:tcPr>
            <w:tcW w:w="1559" w:type="dxa"/>
            <w:shd w:val="clear" w:color="auto" w:fill="F3F3F3"/>
            <w:vAlign w:val="center"/>
          </w:tcPr>
          <w:p w:rsidR="005C6384" w:rsidRPr="008B66BC" w:rsidRDefault="005C6384" w:rsidP="00777066">
            <w:pPr>
              <w:spacing w:line="360" w:lineRule="auto"/>
              <w:jc w:val="center"/>
              <w:rPr>
                <w:rFonts w:ascii="Arial" w:hAnsi="Arial" w:cs="Arial"/>
                <w:b/>
                <w:sz w:val="15"/>
                <w:szCs w:val="15"/>
              </w:rPr>
            </w:pPr>
            <w:r w:rsidRPr="008B66BC">
              <w:rPr>
                <w:rFonts w:ascii="Arial" w:hAnsi="Arial" w:cs="Arial"/>
                <w:b/>
                <w:sz w:val="15"/>
                <w:szCs w:val="15"/>
              </w:rPr>
              <w:t>Poco favorable</w:t>
            </w:r>
          </w:p>
        </w:tc>
        <w:tc>
          <w:tcPr>
            <w:tcW w:w="1832" w:type="dxa"/>
            <w:shd w:val="clear" w:color="auto" w:fill="F3F3F3"/>
            <w:vAlign w:val="center"/>
          </w:tcPr>
          <w:p w:rsidR="005C6384" w:rsidRPr="008B66BC" w:rsidRDefault="005C6384" w:rsidP="00777066">
            <w:pPr>
              <w:spacing w:line="360" w:lineRule="auto"/>
              <w:jc w:val="center"/>
              <w:rPr>
                <w:rFonts w:ascii="Arial" w:hAnsi="Arial" w:cs="Arial"/>
                <w:b/>
                <w:sz w:val="15"/>
                <w:szCs w:val="15"/>
              </w:rPr>
            </w:pPr>
            <w:r w:rsidRPr="008B66BC">
              <w:rPr>
                <w:rFonts w:ascii="Arial" w:hAnsi="Arial" w:cs="Arial"/>
                <w:b/>
                <w:sz w:val="15"/>
                <w:szCs w:val="15"/>
              </w:rPr>
              <w:t>Desfavorable</w:t>
            </w:r>
          </w:p>
        </w:tc>
      </w:tr>
      <w:tr w:rsidR="005C6384" w:rsidRPr="008B66BC" w:rsidTr="00DB41C9">
        <w:trPr>
          <w:jc w:val="center"/>
        </w:trPr>
        <w:tc>
          <w:tcPr>
            <w:tcW w:w="1668"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 xml:space="preserve">Liquidez </w:t>
            </w:r>
          </w:p>
        </w:tc>
        <w:tc>
          <w:tcPr>
            <w:tcW w:w="1425"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AC / PC</w:t>
            </w:r>
          </w:p>
        </w:tc>
        <w:tc>
          <w:tcPr>
            <w:tcW w:w="1560"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 xml:space="preserve">Superior al 1.10 </w:t>
            </w:r>
          </w:p>
        </w:tc>
        <w:tc>
          <w:tcPr>
            <w:tcW w:w="1559"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1.10 a 1.00</w:t>
            </w:r>
          </w:p>
        </w:tc>
        <w:tc>
          <w:tcPr>
            <w:tcW w:w="1832"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Menor a 1.00</w:t>
            </w:r>
          </w:p>
        </w:tc>
      </w:tr>
      <w:tr w:rsidR="005C6384" w:rsidRPr="008B66BC" w:rsidTr="00DB41C9">
        <w:trPr>
          <w:jc w:val="center"/>
        </w:trPr>
        <w:tc>
          <w:tcPr>
            <w:tcW w:w="1668"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Solvencia</w:t>
            </w:r>
          </w:p>
        </w:tc>
        <w:tc>
          <w:tcPr>
            <w:tcW w:w="1425"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PT / AT</w:t>
            </w:r>
          </w:p>
        </w:tc>
        <w:tc>
          <w:tcPr>
            <w:tcW w:w="1560"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80% o Inferior</w:t>
            </w:r>
          </w:p>
        </w:tc>
        <w:tc>
          <w:tcPr>
            <w:tcW w:w="1559"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80.01% al 90%</w:t>
            </w:r>
          </w:p>
        </w:tc>
        <w:tc>
          <w:tcPr>
            <w:tcW w:w="1832"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Mayor al 90%</w:t>
            </w:r>
          </w:p>
        </w:tc>
      </w:tr>
      <w:tr w:rsidR="005C6384" w:rsidRPr="008B66BC" w:rsidTr="00DB41C9">
        <w:trPr>
          <w:jc w:val="center"/>
        </w:trPr>
        <w:tc>
          <w:tcPr>
            <w:tcW w:w="1668"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Apalancamiento</w:t>
            </w:r>
          </w:p>
        </w:tc>
        <w:tc>
          <w:tcPr>
            <w:tcW w:w="1425"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PT / CC</w:t>
            </w:r>
          </w:p>
        </w:tc>
        <w:tc>
          <w:tcPr>
            <w:tcW w:w="1560"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90% o Inferior</w:t>
            </w:r>
          </w:p>
        </w:tc>
        <w:tc>
          <w:tcPr>
            <w:tcW w:w="1559"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90.01% al 95%</w:t>
            </w:r>
          </w:p>
        </w:tc>
        <w:tc>
          <w:tcPr>
            <w:tcW w:w="1832" w:type="dxa"/>
            <w:vAlign w:val="center"/>
          </w:tcPr>
          <w:p w:rsidR="005C6384" w:rsidRPr="008B66BC" w:rsidRDefault="005C6384" w:rsidP="00DB41C9">
            <w:pPr>
              <w:spacing w:line="360" w:lineRule="auto"/>
              <w:jc w:val="center"/>
              <w:rPr>
                <w:rFonts w:ascii="Arial" w:hAnsi="Arial" w:cs="Arial"/>
                <w:sz w:val="15"/>
                <w:szCs w:val="15"/>
              </w:rPr>
            </w:pPr>
            <w:r w:rsidRPr="008B66BC">
              <w:rPr>
                <w:rFonts w:ascii="Arial" w:hAnsi="Arial" w:cs="Arial"/>
                <w:sz w:val="15"/>
                <w:szCs w:val="15"/>
              </w:rPr>
              <w:t>Mayor al 95%</w:t>
            </w:r>
          </w:p>
        </w:tc>
      </w:tr>
      <w:tr w:rsidR="005C6384" w:rsidRPr="008B66BC" w:rsidTr="00DB41C9">
        <w:trPr>
          <w:trHeight w:val="862"/>
          <w:jc w:val="center"/>
        </w:trPr>
        <w:tc>
          <w:tcPr>
            <w:tcW w:w="1668"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Capital de Trabajo</w:t>
            </w:r>
          </w:p>
        </w:tc>
        <w:tc>
          <w:tcPr>
            <w:tcW w:w="1425" w:type="dxa"/>
            <w:vAlign w:val="center"/>
          </w:tcPr>
          <w:p w:rsidR="005C6384" w:rsidRPr="008B66BC" w:rsidRDefault="005C6384" w:rsidP="00DB41C9">
            <w:pPr>
              <w:spacing w:line="360" w:lineRule="auto"/>
              <w:rPr>
                <w:rFonts w:ascii="Arial" w:hAnsi="Arial" w:cs="Arial"/>
                <w:sz w:val="15"/>
                <w:szCs w:val="15"/>
              </w:rPr>
            </w:pPr>
            <w:r w:rsidRPr="008B66BC">
              <w:rPr>
                <w:rFonts w:ascii="Arial" w:hAnsi="Arial" w:cs="Arial"/>
                <w:sz w:val="15"/>
                <w:szCs w:val="15"/>
              </w:rPr>
              <w:t>AC – PC</w:t>
            </w:r>
          </w:p>
        </w:tc>
        <w:tc>
          <w:tcPr>
            <w:tcW w:w="1560" w:type="dxa"/>
            <w:vAlign w:val="center"/>
          </w:tcPr>
          <w:p w:rsidR="005C6384" w:rsidRPr="008B66BC" w:rsidRDefault="005C6384" w:rsidP="00461F4D">
            <w:pPr>
              <w:jc w:val="center"/>
              <w:rPr>
                <w:rFonts w:ascii="Arial" w:hAnsi="Arial" w:cs="Arial"/>
                <w:sz w:val="15"/>
                <w:szCs w:val="15"/>
              </w:rPr>
            </w:pPr>
            <w:r w:rsidRPr="008B66BC">
              <w:rPr>
                <w:rFonts w:ascii="Arial" w:hAnsi="Arial" w:cs="Arial"/>
                <w:sz w:val="15"/>
                <w:szCs w:val="15"/>
              </w:rPr>
              <w:t xml:space="preserve">Cualquier resultado dentro de los parámetros establecidos en el numeral </w:t>
            </w:r>
            <w:r w:rsidR="00461F4D">
              <w:rPr>
                <w:rFonts w:ascii="Arial" w:hAnsi="Arial" w:cs="Arial"/>
                <w:sz w:val="15"/>
                <w:szCs w:val="15"/>
              </w:rPr>
              <w:t>6</w:t>
            </w:r>
            <w:r w:rsidRPr="008B66BC">
              <w:rPr>
                <w:rFonts w:ascii="Arial" w:hAnsi="Arial" w:cs="Arial"/>
                <w:sz w:val="15"/>
                <w:szCs w:val="15"/>
              </w:rPr>
              <w:t>.1.5</w:t>
            </w:r>
            <w:r w:rsidR="002524F5">
              <w:rPr>
                <w:rFonts w:ascii="Arial" w:hAnsi="Arial" w:cs="Arial"/>
                <w:sz w:val="15"/>
                <w:szCs w:val="15"/>
              </w:rPr>
              <w:t>.</w:t>
            </w:r>
            <w:r w:rsidRPr="008B66BC">
              <w:rPr>
                <w:rFonts w:ascii="Arial" w:hAnsi="Arial" w:cs="Arial"/>
                <w:sz w:val="15"/>
                <w:szCs w:val="15"/>
              </w:rPr>
              <w:t xml:space="preserve"> </w:t>
            </w:r>
          </w:p>
        </w:tc>
        <w:tc>
          <w:tcPr>
            <w:tcW w:w="1559" w:type="dxa"/>
            <w:vAlign w:val="center"/>
          </w:tcPr>
          <w:p w:rsidR="005C6384" w:rsidRPr="008B66BC" w:rsidRDefault="005C6384" w:rsidP="00D21A79">
            <w:pPr>
              <w:jc w:val="center"/>
              <w:rPr>
                <w:rFonts w:ascii="Arial" w:hAnsi="Arial" w:cs="Arial"/>
                <w:sz w:val="15"/>
                <w:szCs w:val="15"/>
              </w:rPr>
            </w:pPr>
            <w:r w:rsidRPr="008B66BC">
              <w:rPr>
                <w:rFonts w:ascii="Arial" w:hAnsi="Arial" w:cs="Arial"/>
                <w:sz w:val="15"/>
                <w:szCs w:val="15"/>
              </w:rPr>
              <w:t>No aplica</w:t>
            </w:r>
          </w:p>
        </w:tc>
        <w:tc>
          <w:tcPr>
            <w:tcW w:w="1832" w:type="dxa"/>
            <w:vAlign w:val="center"/>
          </w:tcPr>
          <w:p w:rsidR="005C6384" w:rsidRPr="008B66BC" w:rsidRDefault="005C6384" w:rsidP="00461F4D">
            <w:pPr>
              <w:jc w:val="center"/>
              <w:rPr>
                <w:rFonts w:ascii="Arial" w:hAnsi="Arial" w:cs="Arial"/>
                <w:sz w:val="15"/>
                <w:szCs w:val="15"/>
              </w:rPr>
            </w:pPr>
            <w:r w:rsidRPr="008B66BC">
              <w:rPr>
                <w:rFonts w:ascii="Arial" w:hAnsi="Arial" w:cs="Arial"/>
                <w:sz w:val="15"/>
                <w:szCs w:val="15"/>
              </w:rPr>
              <w:t xml:space="preserve">Cualquier resultado inferior a los parámetros establecidos en el numeral </w:t>
            </w:r>
            <w:r w:rsidR="00461F4D">
              <w:rPr>
                <w:rFonts w:ascii="Arial" w:hAnsi="Arial" w:cs="Arial"/>
                <w:sz w:val="15"/>
                <w:szCs w:val="15"/>
              </w:rPr>
              <w:t>6</w:t>
            </w:r>
            <w:r w:rsidRPr="008B66BC">
              <w:rPr>
                <w:rFonts w:ascii="Arial" w:hAnsi="Arial" w:cs="Arial"/>
                <w:sz w:val="15"/>
                <w:szCs w:val="15"/>
              </w:rPr>
              <w:t>.1.5</w:t>
            </w:r>
          </w:p>
        </w:tc>
      </w:tr>
    </w:tbl>
    <w:p w:rsidR="005C6384" w:rsidRDefault="005C6384" w:rsidP="00F53F40">
      <w:pPr>
        <w:pStyle w:val="Textoindependiente"/>
        <w:numPr>
          <w:ilvl w:val="2"/>
          <w:numId w:val="11"/>
        </w:numPr>
        <w:tabs>
          <w:tab w:val="left" w:pos="1843"/>
        </w:tabs>
        <w:spacing w:before="240" w:after="120" w:line="360" w:lineRule="auto"/>
        <w:jc w:val="both"/>
        <w:rPr>
          <w:rFonts w:cs="Arial"/>
          <w:sz w:val="24"/>
          <w:szCs w:val="24"/>
        </w:rPr>
      </w:pPr>
      <w:r w:rsidRPr="008B66BC">
        <w:rPr>
          <w:rFonts w:cs="Arial"/>
          <w:sz w:val="24"/>
          <w:szCs w:val="24"/>
        </w:rPr>
        <w:t>En caso de ejecución de obra pública cuando su costo sea igual o mayor a $10 millones de pesos se aplicará la siguiente:</w:t>
      </w:r>
    </w:p>
    <w:p w:rsidR="00F53F40" w:rsidRDefault="00F53F40" w:rsidP="00F53F40">
      <w:pPr>
        <w:pStyle w:val="Textoindependiente"/>
        <w:tabs>
          <w:tab w:val="left" w:pos="1843"/>
        </w:tabs>
        <w:spacing w:before="240" w:after="120"/>
        <w:ind w:left="2340"/>
        <w:jc w:val="both"/>
        <w:rPr>
          <w:rFonts w:cs="Arial"/>
          <w:sz w:val="24"/>
          <w:szCs w:val="24"/>
        </w:rPr>
      </w:pPr>
    </w:p>
    <w:tbl>
      <w:tblPr>
        <w:tblW w:w="0" w:type="auto"/>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1364"/>
        <w:gridCol w:w="1613"/>
        <w:gridCol w:w="1559"/>
        <w:gridCol w:w="1616"/>
      </w:tblGrid>
      <w:tr w:rsidR="005C6384" w:rsidRPr="008B66BC" w:rsidTr="002524F5">
        <w:trPr>
          <w:jc w:val="center"/>
        </w:trPr>
        <w:tc>
          <w:tcPr>
            <w:tcW w:w="1569" w:type="dxa"/>
            <w:vMerge w:val="restart"/>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Descripción</w:t>
            </w:r>
          </w:p>
        </w:tc>
        <w:tc>
          <w:tcPr>
            <w:tcW w:w="1364" w:type="dxa"/>
            <w:vMerge w:val="restart"/>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Fórmula</w:t>
            </w:r>
          </w:p>
        </w:tc>
        <w:tc>
          <w:tcPr>
            <w:tcW w:w="4788" w:type="dxa"/>
            <w:gridSpan w:val="3"/>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2524F5">
        <w:trPr>
          <w:trHeight w:val="311"/>
          <w:jc w:val="center"/>
        </w:trPr>
        <w:tc>
          <w:tcPr>
            <w:tcW w:w="1569" w:type="dxa"/>
            <w:vMerge/>
            <w:shd w:val="clear" w:color="auto" w:fill="F3F3F3"/>
            <w:vAlign w:val="center"/>
          </w:tcPr>
          <w:p w:rsidR="005C6384" w:rsidRPr="008B66BC" w:rsidRDefault="005C6384" w:rsidP="002524F5">
            <w:pPr>
              <w:spacing w:line="360" w:lineRule="auto"/>
              <w:jc w:val="center"/>
              <w:rPr>
                <w:rFonts w:ascii="Arial" w:hAnsi="Arial" w:cs="Arial"/>
                <w:b/>
                <w:sz w:val="15"/>
                <w:szCs w:val="15"/>
              </w:rPr>
            </w:pPr>
          </w:p>
        </w:tc>
        <w:tc>
          <w:tcPr>
            <w:tcW w:w="1364" w:type="dxa"/>
            <w:vMerge/>
            <w:shd w:val="clear" w:color="auto" w:fill="F3F3F3"/>
            <w:vAlign w:val="center"/>
          </w:tcPr>
          <w:p w:rsidR="005C6384" w:rsidRPr="008B66BC" w:rsidRDefault="005C6384" w:rsidP="002524F5">
            <w:pPr>
              <w:spacing w:line="360" w:lineRule="auto"/>
              <w:jc w:val="center"/>
              <w:rPr>
                <w:rFonts w:ascii="Arial" w:hAnsi="Arial" w:cs="Arial"/>
                <w:b/>
                <w:sz w:val="15"/>
                <w:szCs w:val="15"/>
              </w:rPr>
            </w:pPr>
          </w:p>
        </w:tc>
        <w:tc>
          <w:tcPr>
            <w:tcW w:w="1613" w:type="dxa"/>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Aceptable</w:t>
            </w:r>
          </w:p>
        </w:tc>
        <w:tc>
          <w:tcPr>
            <w:tcW w:w="1559" w:type="dxa"/>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Poco favorable</w:t>
            </w:r>
          </w:p>
        </w:tc>
        <w:tc>
          <w:tcPr>
            <w:tcW w:w="1616" w:type="dxa"/>
            <w:shd w:val="clear" w:color="auto" w:fill="F3F3F3"/>
            <w:vAlign w:val="center"/>
          </w:tcPr>
          <w:p w:rsidR="005C6384" w:rsidRPr="008B66BC" w:rsidRDefault="005C6384" w:rsidP="002524F5">
            <w:pPr>
              <w:spacing w:line="360" w:lineRule="auto"/>
              <w:jc w:val="center"/>
              <w:rPr>
                <w:rFonts w:ascii="Arial" w:hAnsi="Arial" w:cs="Arial"/>
                <w:b/>
                <w:sz w:val="15"/>
                <w:szCs w:val="15"/>
              </w:rPr>
            </w:pPr>
            <w:r w:rsidRPr="008B66BC">
              <w:rPr>
                <w:rFonts w:ascii="Arial" w:hAnsi="Arial" w:cs="Arial"/>
                <w:b/>
                <w:sz w:val="15"/>
                <w:szCs w:val="15"/>
              </w:rPr>
              <w:t>Desfavorable</w:t>
            </w:r>
          </w:p>
        </w:tc>
      </w:tr>
      <w:tr w:rsidR="005C6384" w:rsidRPr="008B66BC" w:rsidTr="002524F5">
        <w:trPr>
          <w:jc w:val="center"/>
        </w:trPr>
        <w:tc>
          <w:tcPr>
            <w:tcW w:w="1569"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 xml:space="preserve">Liquidez </w:t>
            </w:r>
          </w:p>
        </w:tc>
        <w:tc>
          <w:tcPr>
            <w:tcW w:w="1364"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AC / PC</w:t>
            </w:r>
          </w:p>
        </w:tc>
        <w:tc>
          <w:tcPr>
            <w:tcW w:w="1613"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 xml:space="preserve">Superior al 1.15 </w:t>
            </w:r>
          </w:p>
        </w:tc>
        <w:tc>
          <w:tcPr>
            <w:tcW w:w="1559" w:type="dxa"/>
            <w:vAlign w:val="center"/>
          </w:tcPr>
          <w:p w:rsidR="005C6384" w:rsidRPr="008B66BC" w:rsidRDefault="005C6384" w:rsidP="004D0E8C">
            <w:pPr>
              <w:spacing w:line="360" w:lineRule="auto"/>
              <w:jc w:val="center"/>
              <w:rPr>
                <w:rFonts w:ascii="Arial" w:hAnsi="Arial" w:cs="Arial"/>
                <w:sz w:val="15"/>
                <w:szCs w:val="15"/>
              </w:rPr>
            </w:pPr>
            <w:r w:rsidRPr="008B66BC">
              <w:rPr>
                <w:rFonts w:ascii="Arial" w:hAnsi="Arial" w:cs="Arial"/>
                <w:sz w:val="15"/>
                <w:szCs w:val="15"/>
              </w:rPr>
              <w:t>1.15 a 1.0</w:t>
            </w:r>
            <w:r w:rsidR="004D0E8C">
              <w:rPr>
                <w:rFonts w:ascii="Arial" w:hAnsi="Arial" w:cs="Arial"/>
                <w:sz w:val="15"/>
                <w:szCs w:val="15"/>
              </w:rPr>
              <w:t>6</w:t>
            </w:r>
          </w:p>
        </w:tc>
        <w:tc>
          <w:tcPr>
            <w:tcW w:w="1616" w:type="dxa"/>
            <w:vAlign w:val="center"/>
          </w:tcPr>
          <w:p w:rsidR="005C6384" w:rsidRPr="008B66BC" w:rsidRDefault="005C6384" w:rsidP="004D0E8C">
            <w:pPr>
              <w:spacing w:line="360" w:lineRule="auto"/>
              <w:jc w:val="center"/>
              <w:rPr>
                <w:rFonts w:ascii="Arial" w:hAnsi="Arial" w:cs="Arial"/>
                <w:sz w:val="15"/>
                <w:szCs w:val="15"/>
              </w:rPr>
            </w:pPr>
            <w:r w:rsidRPr="008B66BC">
              <w:rPr>
                <w:rFonts w:ascii="Arial" w:hAnsi="Arial" w:cs="Arial"/>
                <w:sz w:val="15"/>
                <w:szCs w:val="15"/>
              </w:rPr>
              <w:t>Menor a 1.0</w:t>
            </w:r>
            <w:r w:rsidR="004D0E8C">
              <w:rPr>
                <w:rFonts w:ascii="Arial" w:hAnsi="Arial" w:cs="Arial"/>
                <w:sz w:val="15"/>
                <w:szCs w:val="15"/>
              </w:rPr>
              <w:t>5</w:t>
            </w:r>
          </w:p>
        </w:tc>
      </w:tr>
      <w:tr w:rsidR="005C6384" w:rsidRPr="008B66BC" w:rsidTr="002524F5">
        <w:trPr>
          <w:jc w:val="center"/>
        </w:trPr>
        <w:tc>
          <w:tcPr>
            <w:tcW w:w="1569"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Solvencia</w:t>
            </w:r>
          </w:p>
        </w:tc>
        <w:tc>
          <w:tcPr>
            <w:tcW w:w="1364"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PT / AT</w:t>
            </w:r>
          </w:p>
        </w:tc>
        <w:tc>
          <w:tcPr>
            <w:tcW w:w="1613"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75% o Inferior</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75.01% al 85%</w:t>
            </w:r>
          </w:p>
        </w:tc>
        <w:tc>
          <w:tcPr>
            <w:tcW w:w="1616"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Mayor al 85%</w:t>
            </w:r>
          </w:p>
        </w:tc>
      </w:tr>
      <w:tr w:rsidR="005C6384" w:rsidRPr="008B66BC" w:rsidTr="002524F5">
        <w:trPr>
          <w:jc w:val="center"/>
        </w:trPr>
        <w:tc>
          <w:tcPr>
            <w:tcW w:w="1569"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Apalancamiento</w:t>
            </w:r>
          </w:p>
        </w:tc>
        <w:tc>
          <w:tcPr>
            <w:tcW w:w="1364"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PT / CC</w:t>
            </w:r>
          </w:p>
        </w:tc>
        <w:tc>
          <w:tcPr>
            <w:tcW w:w="1613"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85% o Inferior</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85.01% al 90%</w:t>
            </w:r>
          </w:p>
        </w:tc>
        <w:tc>
          <w:tcPr>
            <w:tcW w:w="1616"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Mayor al 90%</w:t>
            </w:r>
          </w:p>
        </w:tc>
      </w:tr>
      <w:tr w:rsidR="005C6384" w:rsidRPr="008B66BC" w:rsidTr="002524F5">
        <w:trPr>
          <w:trHeight w:val="862"/>
          <w:jc w:val="center"/>
        </w:trPr>
        <w:tc>
          <w:tcPr>
            <w:tcW w:w="1569"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Capital de Trabajo</w:t>
            </w:r>
          </w:p>
        </w:tc>
        <w:tc>
          <w:tcPr>
            <w:tcW w:w="1364"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AC – PC</w:t>
            </w:r>
          </w:p>
        </w:tc>
        <w:tc>
          <w:tcPr>
            <w:tcW w:w="1613" w:type="dxa"/>
            <w:vAlign w:val="center"/>
          </w:tcPr>
          <w:p w:rsidR="005C6384" w:rsidRPr="008B66BC" w:rsidRDefault="005C6384" w:rsidP="00461F4D">
            <w:pPr>
              <w:jc w:val="center"/>
              <w:rPr>
                <w:rFonts w:ascii="Arial" w:hAnsi="Arial" w:cs="Arial"/>
                <w:sz w:val="15"/>
                <w:szCs w:val="15"/>
              </w:rPr>
            </w:pPr>
            <w:r w:rsidRPr="008B66BC">
              <w:rPr>
                <w:rFonts w:ascii="Arial" w:hAnsi="Arial" w:cs="Arial"/>
                <w:sz w:val="15"/>
                <w:szCs w:val="15"/>
              </w:rPr>
              <w:t xml:space="preserve">Cualquier resultado dentro de los parámetros establecidos en el numeral </w:t>
            </w:r>
            <w:r w:rsidR="00461F4D">
              <w:rPr>
                <w:rFonts w:ascii="Arial" w:hAnsi="Arial" w:cs="Arial"/>
                <w:sz w:val="15"/>
                <w:szCs w:val="15"/>
              </w:rPr>
              <w:t>6</w:t>
            </w:r>
            <w:r w:rsidRPr="008B66BC">
              <w:rPr>
                <w:rFonts w:ascii="Arial" w:hAnsi="Arial" w:cs="Arial"/>
                <w:sz w:val="15"/>
                <w:szCs w:val="15"/>
              </w:rPr>
              <w:t>.1.5</w:t>
            </w:r>
            <w:r w:rsidR="002524F5">
              <w:rPr>
                <w:rFonts w:ascii="Arial" w:hAnsi="Arial" w:cs="Arial"/>
                <w:sz w:val="15"/>
                <w:szCs w:val="15"/>
              </w:rPr>
              <w:t>.</w:t>
            </w:r>
            <w:r w:rsidRPr="008B66BC">
              <w:rPr>
                <w:rFonts w:ascii="Arial" w:hAnsi="Arial" w:cs="Arial"/>
                <w:sz w:val="15"/>
                <w:szCs w:val="15"/>
              </w:rPr>
              <w:t xml:space="preserve"> </w:t>
            </w:r>
          </w:p>
        </w:tc>
        <w:tc>
          <w:tcPr>
            <w:tcW w:w="1559" w:type="dxa"/>
            <w:vAlign w:val="center"/>
          </w:tcPr>
          <w:p w:rsidR="005C6384" w:rsidRPr="008B66BC" w:rsidRDefault="005C6384" w:rsidP="00D21A79">
            <w:pPr>
              <w:jc w:val="center"/>
              <w:rPr>
                <w:rFonts w:ascii="Arial" w:hAnsi="Arial" w:cs="Arial"/>
                <w:sz w:val="15"/>
                <w:szCs w:val="15"/>
              </w:rPr>
            </w:pPr>
            <w:r w:rsidRPr="008B66BC">
              <w:rPr>
                <w:rFonts w:ascii="Arial" w:hAnsi="Arial" w:cs="Arial"/>
                <w:sz w:val="15"/>
                <w:szCs w:val="15"/>
              </w:rPr>
              <w:t>No aplica</w:t>
            </w:r>
          </w:p>
        </w:tc>
        <w:tc>
          <w:tcPr>
            <w:tcW w:w="1616" w:type="dxa"/>
            <w:vAlign w:val="center"/>
          </w:tcPr>
          <w:p w:rsidR="005C6384" w:rsidRPr="008B66BC" w:rsidRDefault="005C6384" w:rsidP="00461F4D">
            <w:pPr>
              <w:jc w:val="center"/>
              <w:rPr>
                <w:rFonts w:ascii="Arial" w:hAnsi="Arial" w:cs="Arial"/>
                <w:sz w:val="15"/>
                <w:szCs w:val="15"/>
              </w:rPr>
            </w:pPr>
            <w:r w:rsidRPr="008B66BC">
              <w:rPr>
                <w:rFonts w:ascii="Arial" w:hAnsi="Arial" w:cs="Arial"/>
                <w:sz w:val="15"/>
                <w:szCs w:val="15"/>
              </w:rPr>
              <w:t xml:space="preserve">Cualquier resultado inferior a los parámetros establecidos en el numeral </w:t>
            </w:r>
            <w:r w:rsidR="00461F4D">
              <w:rPr>
                <w:rFonts w:ascii="Arial" w:hAnsi="Arial" w:cs="Arial"/>
                <w:sz w:val="15"/>
                <w:szCs w:val="15"/>
              </w:rPr>
              <w:t>6</w:t>
            </w:r>
            <w:r w:rsidRPr="008B66BC">
              <w:rPr>
                <w:rFonts w:ascii="Arial" w:hAnsi="Arial" w:cs="Arial"/>
                <w:sz w:val="15"/>
                <w:szCs w:val="15"/>
              </w:rPr>
              <w:t>.1.5</w:t>
            </w:r>
          </w:p>
        </w:tc>
      </w:tr>
    </w:tbl>
    <w:p w:rsidR="00BE6E02" w:rsidRDefault="00BE6E02" w:rsidP="000A175F">
      <w:pPr>
        <w:pStyle w:val="Textoindependiente"/>
        <w:numPr>
          <w:ilvl w:val="1"/>
          <w:numId w:val="4"/>
        </w:numPr>
        <w:tabs>
          <w:tab w:val="left" w:pos="1843"/>
        </w:tabs>
        <w:spacing w:before="280" w:after="120" w:line="360" w:lineRule="auto"/>
        <w:ind w:left="1843" w:hanging="709"/>
        <w:jc w:val="both"/>
        <w:rPr>
          <w:rFonts w:cs="Arial"/>
          <w:sz w:val="24"/>
          <w:szCs w:val="24"/>
        </w:rPr>
      </w:pPr>
      <w:r>
        <w:rPr>
          <w:rFonts w:cs="Arial"/>
          <w:sz w:val="24"/>
          <w:szCs w:val="24"/>
        </w:rPr>
        <w:lastRenderedPageBreak/>
        <w:t xml:space="preserve">Para efectos de Obra Pública, se podrá aplicar el análisis e interpretación de los Estados Financieros, respecto a los rubros de Liquidez inmediata, Activos Circulantes de fácil realización, Activos Fijos, Estructura del Capital Contable, así como, el nivel </w:t>
      </w:r>
      <w:r w:rsidR="0093786A">
        <w:rPr>
          <w:rFonts w:cs="Arial"/>
          <w:sz w:val="24"/>
          <w:szCs w:val="24"/>
        </w:rPr>
        <w:t>d</w:t>
      </w:r>
      <w:r>
        <w:rPr>
          <w:rFonts w:cs="Arial"/>
          <w:sz w:val="24"/>
          <w:szCs w:val="24"/>
        </w:rPr>
        <w:t xml:space="preserve">e los Ingresos propios de su actividad, a fin de emitir una opinión respecto a su situación financiera, </w:t>
      </w:r>
      <w:r>
        <w:rPr>
          <w:rFonts w:cs="Arial"/>
          <w:sz w:val="24"/>
          <w:szCs w:val="24"/>
          <w:lang w:val="es-ES_tradnl"/>
        </w:rPr>
        <w:t>tendiente</w:t>
      </w:r>
      <w:r w:rsidRPr="00BE6E02">
        <w:rPr>
          <w:rFonts w:cs="Arial"/>
          <w:sz w:val="24"/>
          <w:szCs w:val="24"/>
          <w:lang w:val="es-ES_tradnl"/>
        </w:rPr>
        <w:t xml:space="preserve"> a que el Tribunal Electoral cuente con las </w:t>
      </w:r>
      <w:r w:rsidRPr="00BE6E02">
        <w:rPr>
          <w:rFonts w:cs="Arial"/>
          <w:b/>
          <w:i/>
          <w:sz w:val="24"/>
          <w:szCs w:val="24"/>
          <w:u w:val="single"/>
          <w:lang w:val="es-ES_tradnl"/>
        </w:rPr>
        <w:t>mejores condiciones disponibles en cuanto a precio, calidad, financiamiento, oportunidad y demás circunstancias pertinentes</w:t>
      </w:r>
      <w:r>
        <w:rPr>
          <w:rFonts w:cs="Arial"/>
          <w:b/>
          <w:i/>
          <w:sz w:val="24"/>
          <w:szCs w:val="24"/>
          <w:u w:val="single"/>
          <w:lang w:val="es-ES_tradnl"/>
        </w:rPr>
        <w:t>.</w:t>
      </w:r>
    </w:p>
    <w:p w:rsidR="005C6384" w:rsidRDefault="005C6384" w:rsidP="003A5FB6">
      <w:pPr>
        <w:pStyle w:val="Textoindependiente"/>
        <w:numPr>
          <w:ilvl w:val="1"/>
          <w:numId w:val="4"/>
        </w:numPr>
        <w:tabs>
          <w:tab w:val="left" w:pos="1843"/>
        </w:tabs>
        <w:spacing w:before="120" w:after="120" w:line="360" w:lineRule="auto"/>
        <w:ind w:left="1843" w:hanging="709"/>
        <w:jc w:val="both"/>
        <w:rPr>
          <w:rFonts w:cs="Arial"/>
          <w:sz w:val="24"/>
          <w:szCs w:val="24"/>
        </w:rPr>
      </w:pPr>
      <w:r w:rsidRPr="008B66BC">
        <w:rPr>
          <w:rFonts w:cs="Arial"/>
          <w:sz w:val="24"/>
          <w:szCs w:val="24"/>
        </w:rPr>
        <w:t>Tratándose de servicios relacionados con obra pública, tales como, servicios de consultoría, asesorías, estudios e investigaciones, supervisión técnica y proyectos relacionados a cualquier otro servicio no previsto en el presente lineamiento se aplicará la siguiente:</w:t>
      </w:r>
    </w:p>
    <w:tbl>
      <w:tblPr>
        <w:tblW w:w="0" w:type="auto"/>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
        <w:gridCol w:w="1418"/>
        <w:gridCol w:w="1559"/>
        <w:gridCol w:w="1559"/>
        <w:gridCol w:w="1510"/>
      </w:tblGrid>
      <w:tr w:rsidR="005C6384" w:rsidRPr="008B66BC" w:rsidTr="002524F5">
        <w:trPr>
          <w:jc w:val="center"/>
        </w:trPr>
        <w:tc>
          <w:tcPr>
            <w:tcW w:w="1462" w:type="dxa"/>
            <w:vMerge w:val="restart"/>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Descripción</w:t>
            </w:r>
          </w:p>
        </w:tc>
        <w:tc>
          <w:tcPr>
            <w:tcW w:w="1418" w:type="dxa"/>
            <w:vMerge w:val="restart"/>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Fórmula</w:t>
            </w:r>
          </w:p>
        </w:tc>
        <w:tc>
          <w:tcPr>
            <w:tcW w:w="4628" w:type="dxa"/>
            <w:gridSpan w:val="3"/>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2524F5">
        <w:trPr>
          <w:trHeight w:val="311"/>
          <w:jc w:val="center"/>
        </w:trPr>
        <w:tc>
          <w:tcPr>
            <w:tcW w:w="1462" w:type="dxa"/>
            <w:vMerge/>
            <w:shd w:val="clear" w:color="auto" w:fill="F3F3F3"/>
            <w:vAlign w:val="center"/>
          </w:tcPr>
          <w:p w:rsidR="005C6384" w:rsidRPr="008B66BC" w:rsidRDefault="005C6384" w:rsidP="00D21A79">
            <w:pPr>
              <w:spacing w:line="240" w:lineRule="atLeast"/>
              <w:jc w:val="center"/>
              <w:rPr>
                <w:rFonts w:ascii="Arial" w:hAnsi="Arial" w:cs="Arial"/>
                <w:b/>
                <w:sz w:val="15"/>
                <w:szCs w:val="15"/>
              </w:rPr>
            </w:pPr>
          </w:p>
        </w:tc>
        <w:tc>
          <w:tcPr>
            <w:tcW w:w="1418" w:type="dxa"/>
            <w:vMerge/>
            <w:shd w:val="clear" w:color="auto" w:fill="F3F3F3"/>
            <w:vAlign w:val="center"/>
          </w:tcPr>
          <w:p w:rsidR="005C6384" w:rsidRPr="008B66BC" w:rsidRDefault="005C6384" w:rsidP="00D21A79">
            <w:pPr>
              <w:spacing w:line="240" w:lineRule="atLeast"/>
              <w:jc w:val="center"/>
              <w:rPr>
                <w:rFonts w:ascii="Arial" w:hAnsi="Arial" w:cs="Arial"/>
                <w:b/>
                <w:sz w:val="15"/>
                <w:szCs w:val="15"/>
              </w:rPr>
            </w:pPr>
          </w:p>
        </w:tc>
        <w:tc>
          <w:tcPr>
            <w:tcW w:w="1559" w:type="dxa"/>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Aceptable</w:t>
            </w:r>
          </w:p>
        </w:tc>
        <w:tc>
          <w:tcPr>
            <w:tcW w:w="1559" w:type="dxa"/>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Poco favorable</w:t>
            </w:r>
          </w:p>
        </w:tc>
        <w:tc>
          <w:tcPr>
            <w:tcW w:w="1510" w:type="dxa"/>
            <w:shd w:val="clear" w:color="auto" w:fill="F3F3F3"/>
            <w:vAlign w:val="center"/>
          </w:tcPr>
          <w:p w:rsidR="005C6384" w:rsidRPr="008B66BC" w:rsidRDefault="005C6384" w:rsidP="00D21A79">
            <w:pPr>
              <w:spacing w:line="240" w:lineRule="atLeast"/>
              <w:jc w:val="center"/>
              <w:rPr>
                <w:rFonts w:ascii="Arial" w:hAnsi="Arial" w:cs="Arial"/>
                <w:b/>
                <w:sz w:val="15"/>
                <w:szCs w:val="15"/>
              </w:rPr>
            </w:pPr>
            <w:r w:rsidRPr="008B66BC">
              <w:rPr>
                <w:rFonts w:ascii="Arial" w:hAnsi="Arial" w:cs="Arial"/>
                <w:b/>
                <w:sz w:val="15"/>
                <w:szCs w:val="15"/>
              </w:rPr>
              <w:t>Desfavorable</w:t>
            </w:r>
          </w:p>
        </w:tc>
      </w:tr>
      <w:tr w:rsidR="005C6384" w:rsidRPr="008B66BC" w:rsidTr="002524F5">
        <w:trPr>
          <w:jc w:val="center"/>
        </w:trPr>
        <w:tc>
          <w:tcPr>
            <w:tcW w:w="1462"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 xml:space="preserve">Liquidez </w:t>
            </w:r>
          </w:p>
        </w:tc>
        <w:tc>
          <w:tcPr>
            <w:tcW w:w="1418"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AC / PC</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 xml:space="preserve">Superior al 0.90 </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0.80 a 0.90</w:t>
            </w:r>
          </w:p>
        </w:tc>
        <w:tc>
          <w:tcPr>
            <w:tcW w:w="1510"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Menor a 0.80</w:t>
            </w:r>
          </w:p>
        </w:tc>
      </w:tr>
      <w:tr w:rsidR="005C6384" w:rsidRPr="008B66BC" w:rsidTr="002524F5">
        <w:trPr>
          <w:jc w:val="center"/>
        </w:trPr>
        <w:tc>
          <w:tcPr>
            <w:tcW w:w="1462"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Solvencia</w:t>
            </w:r>
          </w:p>
        </w:tc>
        <w:tc>
          <w:tcPr>
            <w:tcW w:w="1418"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PT / AT</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95% o Inferior</w:t>
            </w:r>
          </w:p>
        </w:tc>
        <w:tc>
          <w:tcPr>
            <w:tcW w:w="1559"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95.01% al 100%</w:t>
            </w:r>
          </w:p>
        </w:tc>
        <w:tc>
          <w:tcPr>
            <w:tcW w:w="1510" w:type="dxa"/>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Mayor al 100%</w:t>
            </w:r>
          </w:p>
        </w:tc>
      </w:tr>
      <w:tr w:rsidR="005C6384" w:rsidRPr="008B66BC" w:rsidTr="002524F5">
        <w:trPr>
          <w:jc w:val="center"/>
        </w:trPr>
        <w:tc>
          <w:tcPr>
            <w:tcW w:w="1462"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Apalancamiento</w:t>
            </w:r>
          </w:p>
        </w:tc>
        <w:tc>
          <w:tcPr>
            <w:tcW w:w="1418"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PT / CC</w:t>
            </w:r>
          </w:p>
        </w:tc>
        <w:tc>
          <w:tcPr>
            <w:tcW w:w="4628" w:type="dxa"/>
            <w:gridSpan w:val="3"/>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No aplica</w:t>
            </w:r>
          </w:p>
        </w:tc>
      </w:tr>
      <w:tr w:rsidR="005C6384" w:rsidRPr="008B66BC" w:rsidTr="002524F5">
        <w:trPr>
          <w:jc w:val="center"/>
        </w:trPr>
        <w:tc>
          <w:tcPr>
            <w:tcW w:w="1462"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Capital de Trabajo</w:t>
            </w:r>
          </w:p>
        </w:tc>
        <w:tc>
          <w:tcPr>
            <w:tcW w:w="1418" w:type="dxa"/>
            <w:vAlign w:val="center"/>
          </w:tcPr>
          <w:p w:rsidR="005C6384" w:rsidRPr="008B66BC" w:rsidRDefault="005C6384" w:rsidP="002524F5">
            <w:pPr>
              <w:spacing w:line="360" w:lineRule="auto"/>
              <w:rPr>
                <w:rFonts w:ascii="Arial" w:hAnsi="Arial" w:cs="Arial"/>
                <w:sz w:val="15"/>
                <w:szCs w:val="15"/>
              </w:rPr>
            </w:pPr>
            <w:r w:rsidRPr="008B66BC">
              <w:rPr>
                <w:rFonts w:ascii="Arial" w:hAnsi="Arial" w:cs="Arial"/>
                <w:sz w:val="15"/>
                <w:szCs w:val="15"/>
              </w:rPr>
              <w:t>AC - PC</w:t>
            </w:r>
          </w:p>
        </w:tc>
        <w:tc>
          <w:tcPr>
            <w:tcW w:w="4628" w:type="dxa"/>
            <w:gridSpan w:val="3"/>
            <w:vAlign w:val="center"/>
          </w:tcPr>
          <w:p w:rsidR="005C6384" w:rsidRPr="008B66BC" w:rsidRDefault="005C6384" w:rsidP="002524F5">
            <w:pPr>
              <w:spacing w:line="360" w:lineRule="auto"/>
              <w:jc w:val="center"/>
              <w:rPr>
                <w:rFonts w:ascii="Arial" w:hAnsi="Arial" w:cs="Arial"/>
                <w:sz w:val="15"/>
                <w:szCs w:val="15"/>
              </w:rPr>
            </w:pPr>
            <w:r w:rsidRPr="008B66BC">
              <w:rPr>
                <w:rFonts w:ascii="Arial" w:hAnsi="Arial" w:cs="Arial"/>
                <w:sz w:val="15"/>
                <w:szCs w:val="15"/>
              </w:rPr>
              <w:t>No aplica</w:t>
            </w:r>
          </w:p>
        </w:tc>
      </w:tr>
    </w:tbl>
    <w:p w:rsidR="000720A6" w:rsidRPr="00490C22" w:rsidRDefault="000720A6" w:rsidP="00490C22">
      <w:pPr>
        <w:spacing w:line="360" w:lineRule="auto"/>
        <w:ind w:right="48"/>
        <w:jc w:val="both"/>
        <w:rPr>
          <w:rFonts w:ascii="Arial" w:hAnsi="Arial" w:cs="Arial"/>
          <w:noProof/>
          <w:lang w:eastAsia="es-MX"/>
        </w:rPr>
      </w:pPr>
    </w:p>
    <w:p w:rsidR="000720A6" w:rsidRPr="008B66BC" w:rsidRDefault="005C6384" w:rsidP="003A5FB6">
      <w:pPr>
        <w:pStyle w:val="Textoindependiente"/>
        <w:numPr>
          <w:ilvl w:val="1"/>
          <w:numId w:val="4"/>
        </w:numPr>
        <w:tabs>
          <w:tab w:val="left" w:pos="1843"/>
        </w:tabs>
        <w:spacing w:before="120" w:after="120" w:line="360" w:lineRule="auto"/>
        <w:ind w:left="1843" w:hanging="709"/>
        <w:jc w:val="both"/>
        <w:rPr>
          <w:rFonts w:cs="Arial"/>
          <w:sz w:val="24"/>
          <w:szCs w:val="24"/>
        </w:rPr>
      </w:pPr>
      <w:r w:rsidRPr="008B66BC">
        <w:rPr>
          <w:rFonts w:cs="Arial"/>
          <w:sz w:val="24"/>
          <w:szCs w:val="24"/>
        </w:rPr>
        <w:t>En caso de que los ser</w:t>
      </w:r>
      <w:r w:rsidR="002524F5">
        <w:rPr>
          <w:rFonts w:cs="Arial"/>
          <w:sz w:val="24"/>
          <w:szCs w:val="24"/>
        </w:rPr>
        <w:t xml:space="preserve">vicios señalados en el numeral </w:t>
      </w:r>
      <w:r w:rsidR="000A175F">
        <w:rPr>
          <w:rFonts w:cs="Arial"/>
          <w:sz w:val="24"/>
          <w:szCs w:val="24"/>
        </w:rPr>
        <w:t>6</w:t>
      </w:r>
      <w:r w:rsidRPr="008B66BC">
        <w:rPr>
          <w:rFonts w:cs="Arial"/>
          <w:sz w:val="24"/>
          <w:szCs w:val="24"/>
        </w:rPr>
        <w:t>.1.3</w:t>
      </w:r>
      <w:r w:rsidR="002524F5">
        <w:rPr>
          <w:rFonts w:cs="Arial"/>
          <w:sz w:val="24"/>
          <w:szCs w:val="24"/>
        </w:rPr>
        <w:t>.</w:t>
      </w:r>
      <w:r w:rsidRPr="008B66BC">
        <w:rPr>
          <w:rFonts w:cs="Arial"/>
          <w:sz w:val="24"/>
          <w:szCs w:val="24"/>
        </w:rPr>
        <w:t xml:space="preserve"> que precede, sean prestados por personas físicas, las mediciones financieras podrán aplicarse</w:t>
      </w:r>
      <w:r w:rsidR="00D21A79">
        <w:rPr>
          <w:rFonts w:cs="Arial"/>
          <w:sz w:val="24"/>
          <w:szCs w:val="24"/>
        </w:rPr>
        <w:t xml:space="preserve"> a la documentación que cada una presente en sus propuestas.</w:t>
      </w:r>
    </w:p>
    <w:p w:rsidR="005C6384" w:rsidRDefault="005C6384" w:rsidP="000A175F">
      <w:pPr>
        <w:pStyle w:val="Textoindependiente"/>
        <w:numPr>
          <w:ilvl w:val="1"/>
          <w:numId w:val="4"/>
        </w:numPr>
        <w:tabs>
          <w:tab w:val="left" w:pos="1843"/>
        </w:tabs>
        <w:spacing w:before="120" w:after="240" w:line="360" w:lineRule="auto"/>
        <w:ind w:left="1843" w:hanging="709"/>
        <w:jc w:val="both"/>
        <w:rPr>
          <w:rFonts w:cs="Arial"/>
          <w:sz w:val="24"/>
          <w:szCs w:val="24"/>
        </w:rPr>
      </w:pPr>
      <w:r w:rsidRPr="008B66BC">
        <w:rPr>
          <w:rFonts w:cs="Arial"/>
          <w:sz w:val="24"/>
          <w:szCs w:val="24"/>
        </w:rPr>
        <w:t>Cédula de requerimientos de Capital de Trabajo para la adjudicación de contratos en materia de ejecución de Obra Pública:</w:t>
      </w:r>
    </w:p>
    <w:tbl>
      <w:tblPr>
        <w:tblW w:w="0" w:type="auto"/>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8"/>
        <w:gridCol w:w="711"/>
        <w:gridCol w:w="2882"/>
        <w:gridCol w:w="975"/>
      </w:tblGrid>
      <w:tr w:rsidR="005C6384" w:rsidRPr="008B66BC" w:rsidTr="00F03930">
        <w:trPr>
          <w:trHeight w:val="567"/>
          <w:jc w:val="center"/>
        </w:trPr>
        <w:tc>
          <w:tcPr>
            <w:tcW w:w="2938" w:type="dxa"/>
            <w:shd w:val="clear" w:color="auto" w:fill="F3F3F3"/>
            <w:vAlign w:val="center"/>
          </w:tcPr>
          <w:p w:rsidR="005C6384" w:rsidRPr="008B66BC" w:rsidRDefault="005C6384" w:rsidP="00D21A79">
            <w:pPr>
              <w:jc w:val="center"/>
              <w:rPr>
                <w:rFonts w:ascii="Arial" w:hAnsi="Arial" w:cs="Arial"/>
                <w:b/>
                <w:sz w:val="15"/>
                <w:szCs w:val="15"/>
              </w:rPr>
            </w:pPr>
            <w:r w:rsidRPr="008B66BC">
              <w:rPr>
                <w:rFonts w:ascii="Arial" w:hAnsi="Arial" w:cs="Arial"/>
                <w:b/>
                <w:sz w:val="15"/>
                <w:szCs w:val="15"/>
              </w:rPr>
              <w:t>Anticipo otorgado con base en el valor total de la obra a ejecutar, antes del Impuesto al Valor Agregado</w:t>
            </w:r>
          </w:p>
        </w:tc>
        <w:tc>
          <w:tcPr>
            <w:tcW w:w="711" w:type="dxa"/>
            <w:shd w:val="clear" w:color="auto" w:fill="F3F3F3"/>
            <w:vAlign w:val="center"/>
          </w:tcPr>
          <w:p w:rsidR="005C6384" w:rsidRPr="008B66BC" w:rsidRDefault="005C6384" w:rsidP="00D21A79">
            <w:pPr>
              <w:jc w:val="center"/>
              <w:rPr>
                <w:rFonts w:ascii="Arial" w:hAnsi="Arial" w:cs="Arial"/>
                <w:b/>
                <w:sz w:val="15"/>
                <w:szCs w:val="15"/>
              </w:rPr>
            </w:pPr>
            <w:r w:rsidRPr="008B66BC">
              <w:rPr>
                <w:rFonts w:ascii="Arial" w:hAnsi="Arial" w:cs="Arial"/>
                <w:b/>
                <w:sz w:val="15"/>
                <w:szCs w:val="15"/>
              </w:rPr>
              <w:t>%</w:t>
            </w:r>
          </w:p>
        </w:tc>
        <w:tc>
          <w:tcPr>
            <w:tcW w:w="2882" w:type="dxa"/>
            <w:shd w:val="clear" w:color="auto" w:fill="F3F3F3"/>
            <w:vAlign w:val="center"/>
          </w:tcPr>
          <w:p w:rsidR="005C6384" w:rsidRPr="008B66BC" w:rsidRDefault="005C6384" w:rsidP="00D21A79">
            <w:pPr>
              <w:jc w:val="center"/>
              <w:rPr>
                <w:rFonts w:ascii="Arial" w:hAnsi="Arial" w:cs="Arial"/>
                <w:b/>
                <w:sz w:val="15"/>
                <w:szCs w:val="15"/>
              </w:rPr>
            </w:pPr>
            <w:r w:rsidRPr="008B66BC">
              <w:rPr>
                <w:rFonts w:ascii="Arial" w:hAnsi="Arial" w:cs="Arial"/>
                <w:b/>
                <w:sz w:val="15"/>
                <w:szCs w:val="15"/>
              </w:rPr>
              <w:t>Capital de Trabajo requerido con base en el valor total de la obra a ejecutar, antes del Impuesto al Valor Agregado</w:t>
            </w:r>
          </w:p>
        </w:tc>
        <w:tc>
          <w:tcPr>
            <w:tcW w:w="975"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w:t>
            </w:r>
          </w:p>
        </w:tc>
      </w:tr>
      <w:tr w:rsidR="005C6384" w:rsidRPr="00C30E9A" w:rsidTr="00F03930">
        <w:trPr>
          <w:jc w:val="center"/>
        </w:trPr>
        <w:tc>
          <w:tcPr>
            <w:tcW w:w="2938" w:type="dxa"/>
            <w:vAlign w:val="center"/>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Sí el anticipo otorgado es del:</w:t>
            </w:r>
          </w:p>
        </w:tc>
        <w:tc>
          <w:tcPr>
            <w:tcW w:w="711" w:type="dxa"/>
            <w:vAlign w:val="center"/>
          </w:tcPr>
          <w:p w:rsidR="005C6384" w:rsidRPr="00C30E9A" w:rsidRDefault="005C6384" w:rsidP="00F03930">
            <w:pPr>
              <w:spacing w:line="360" w:lineRule="auto"/>
              <w:jc w:val="center"/>
              <w:rPr>
                <w:rFonts w:ascii="Arial" w:hAnsi="Arial" w:cs="Arial"/>
                <w:sz w:val="15"/>
                <w:szCs w:val="15"/>
              </w:rPr>
            </w:pPr>
            <w:r w:rsidRPr="00C30E9A">
              <w:rPr>
                <w:rFonts w:ascii="Arial" w:hAnsi="Arial" w:cs="Arial"/>
                <w:sz w:val="15"/>
                <w:szCs w:val="15"/>
              </w:rPr>
              <w:t>50%</w:t>
            </w:r>
          </w:p>
        </w:tc>
        <w:tc>
          <w:tcPr>
            <w:tcW w:w="2882" w:type="dxa"/>
            <w:vAlign w:val="center"/>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F03930">
            <w:pPr>
              <w:spacing w:line="360" w:lineRule="auto"/>
              <w:jc w:val="center"/>
              <w:rPr>
                <w:rFonts w:ascii="Arial" w:hAnsi="Arial" w:cs="Arial"/>
                <w:sz w:val="15"/>
                <w:szCs w:val="15"/>
              </w:rPr>
            </w:pPr>
            <w:r w:rsidRPr="00C30E9A">
              <w:rPr>
                <w:rFonts w:ascii="Arial" w:hAnsi="Arial" w:cs="Arial"/>
                <w:sz w:val="15"/>
                <w:szCs w:val="15"/>
              </w:rPr>
              <w:t>0%</w:t>
            </w:r>
          </w:p>
        </w:tc>
      </w:tr>
      <w:tr w:rsidR="005C6384" w:rsidRPr="00C30E9A" w:rsidTr="00F03930">
        <w:trPr>
          <w:jc w:val="center"/>
        </w:trPr>
        <w:tc>
          <w:tcPr>
            <w:tcW w:w="2938"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Sí el anticipo otorgado es del:</w:t>
            </w:r>
          </w:p>
        </w:tc>
        <w:tc>
          <w:tcPr>
            <w:tcW w:w="711"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40%</w:t>
            </w:r>
          </w:p>
        </w:tc>
        <w:tc>
          <w:tcPr>
            <w:tcW w:w="2882"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10%</w:t>
            </w:r>
          </w:p>
        </w:tc>
      </w:tr>
      <w:tr w:rsidR="005C6384" w:rsidRPr="00C30E9A" w:rsidTr="00F03930">
        <w:trPr>
          <w:jc w:val="center"/>
        </w:trPr>
        <w:tc>
          <w:tcPr>
            <w:tcW w:w="2938"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Sí el anticipo otorgado es del:</w:t>
            </w:r>
          </w:p>
        </w:tc>
        <w:tc>
          <w:tcPr>
            <w:tcW w:w="711"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30%</w:t>
            </w:r>
          </w:p>
        </w:tc>
        <w:tc>
          <w:tcPr>
            <w:tcW w:w="2882"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20%</w:t>
            </w:r>
          </w:p>
        </w:tc>
      </w:tr>
      <w:tr w:rsidR="005C6384" w:rsidRPr="00C30E9A" w:rsidTr="00F03930">
        <w:trPr>
          <w:jc w:val="center"/>
        </w:trPr>
        <w:tc>
          <w:tcPr>
            <w:tcW w:w="2938"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Sí el anticipo otorgado es del:</w:t>
            </w:r>
          </w:p>
        </w:tc>
        <w:tc>
          <w:tcPr>
            <w:tcW w:w="711"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20%</w:t>
            </w:r>
          </w:p>
        </w:tc>
        <w:tc>
          <w:tcPr>
            <w:tcW w:w="2882"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30%</w:t>
            </w:r>
          </w:p>
        </w:tc>
      </w:tr>
      <w:tr w:rsidR="005C6384" w:rsidRPr="00C30E9A" w:rsidTr="00F03930">
        <w:trPr>
          <w:jc w:val="center"/>
        </w:trPr>
        <w:tc>
          <w:tcPr>
            <w:tcW w:w="2938"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lastRenderedPageBreak/>
              <w:t>Sí el anticipo otorgado es del:</w:t>
            </w:r>
          </w:p>
        </w:tc>
        <w:tc>
          <w:tcPr>
            <w:tcW w:w="711"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10%</w:t>
            </w:r>
          </w:p>
        </w:tc>
        <w:tc>
          <w:tcPr>
            <w:tcW w:w="2882"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40%</w:t>
            </w:r>
          </w:p>
        </w:tc>
      </w:tr>
      <w:tr w:rsidR="005C6384" w:rsidRPr="00C30E9A" w:rsidTr="00F03930">
        <w:trPr>
          <w:jc w:val="center"/>
        </w:trPr>
        <w:tc>
          <w:tcPr>
            <w:tcW w:w="2938"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Sí el anticipo otorgado es del:</w:t>
            </w:r>
          </w:p>
        </w:tc>
        <w:tc>
          <w:tcPr>
            <w:tcW w:w="711"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0%</w:t>
            </w:r>
          </w:p>
        </w:tc>
        <w:tc>
          <w:tcPr>
            <w:tcW w:w="2882" w:type="dxa"/>
          </w:tcPr>
          <w:p w:rsidR="005C6384" w:rsidRPr="00C30E9A" w:rsidRDefault="005C6384" w:rsidP="00F03930">
            <w:pPr>
              <w:spacing w:line="360" w:lineRule="auto"/>
              <w:rPr>
                <w:rFonts w:ascii="Arial" w:hAnsi="Arial" w:cs="Arial"/>
                <w:sz w:val="15"/>
                <w:szCs w:val="15"/>
              </w:rPr>
            </w:pPr>
            <w:r w:rsidRPr="00C30E9A">
              <w:rPr>
                <w:rFonts w:ascii="Arial" w:hAnsi="Arial" w:cs="Arial"/>
                <w:sz w:val="15"/>
                <w:szCs w:val="15"/>
              </w:rPr>
              <w:t>Se requerirá un Capital de Trabajo de:</w:t>
            </w:r>
          </w:p>
        </w:tc>
        <w:tc>
          <w:tcPr>
            <w:tcW w:w="975" w:type="dxa"/>
            <w:vAlign w:val="center"/>
          </w:tcPr>
          <w:p w:rsidR="005C6384" w:rsidRPr="00C30E9A" w:rsidRDefault="005C6384" w:rsidP="00C30E9A">
            <w:pPr>
              <w:spacing w:line="360" w:lineRule="auto"/>
              <w:jc w:val="center"/>
              <w:rPr>
                <w:rFonts w:ascii="Arial" w:hAnsi="Arial" w:cs="Arial"/>
                <w:sz w:val="15"/>
                <w:szCs w:val="15"/>
              </w:rPr>
            </w:pPr>
            <w:r w:rsidRPr="00C30E9A">
              <w:rPr>
                <w:rFonts w:ascii="Arial" w:hAnsi="Arial" w:cs="Arial"/>
                <w:sz w:val="15"/>
                <w:szCs w:val="15"/>
              </w:rPr>
              <w:t>50%</w:t>
            </w:r>
          </w:p>
        </w:tc>
      </w:tr>
    </w:tbl>
    <w:p w:rsidR="004502D9" w:rsidRDefault="00D21A79" w:rsidP="000A175F">
      <w:pPr>
        <w:pStyle w:val="Textoindependiente"/>
        <w:numPr>
          <w:ilvl w:val="1"/>
          <w:numId w:val="4"/>
        </w:numPr>
        <w:tabs>
          <w:tab w:val="left" w:pos="1843"/>
        </w:tabs>
        <w:spacing w:before="360" w:after="120" w:line="360" w:lineRule="auto"/>
        <w:ind w:left="1843" w:hanging="709"/>
        <w:jc w:val="both"/>
        <w:rPr>
          <w:rFonts w:cs="Arial"/>
          <w:sz w:val="24"/>
          <w:szCs w:val="24"/>
        </w:rPr>
      </w:pPr>
      <w:r>
        <w:rPr>
          <w:rFonts w:cs="Arial"/>
          <w:sz w:val="24"/>
          <w:szCs w:val="24"/>
        </w:rPr>
        <w:t>Tratándose de participaciones conjuntas, los participantes deberán acreditar de manera individual su solvencia financiera, conforme a lo</w:t>
      </w:r>
      <w:r w:rsidR="0093786A">
        <w:rPr>
          <w:rFonts w:cs="Arial"/>
          <w:sz w:val="24"/>
          <w:szCs w:val="24"/>
        </w:rPr>
        <w:t>s</w:t>
      </w:r>
      <w:r>
        <w:rPr>
          <w:rFonts w:cs="Arial"/>
          <w:sz w:val="24"/>
          <w:szCs w:val="24"/>
        </w:rPr>
        <w:t xml:space="preserve"> parámetros establecidos en los numerales </w:t>
      </w:r>
      <w:r w:rsidR="000A175F">
        <w:rPr>
          <w:rFonts w:cs="Arial"/>
          <w:b/>
          <w:sz w:val="24"/>
          <w:szCs w:val="24"/>
        </w:rPr>
        <w:t>6</w:t>
      </w:r>
      <w:r w:rsidR="00C51BC7">
        <w:rPr>
          <w:rFonts w:cs="Arial"/>
          <w:b/>
          <w:sz w:val="24"/>
          <w:szCs w:val="24"/>
        </w:rPr>
        <w:t xml:space="preserve">.1.1. al </w:t>
      </w:r>
      <w:r w:rsidR="000A175F">
        <w:rPr>
          <w:rFonts w:cs="Arial"/>
          <w:b/>
          <w:sz w:val="24"/>
          <w:szCs w:val="24"/>
        </w:rPr>
        <w:t>6</w:t>
      </w:r>
      <w:r w:rsidR="00C51BC7">
        <w:rPr>
          <w:rFonts w:cs="Arial"/>
          <w:b/>
          <w:sz w:val="24"/>
          <w:szCs w:val="24"/>
        </w:rPr>
        <w:t>.1.4,</w:t>
      </w:r>
      <w:r w:rsidR="00C51BC7">
        <w:rPr>
          <w:rFonts w:cs="Arial"/>
          <w:sz w:val="24"/>
          <w:szCs w:val="24"/>
        </w:rPr>
        <w:t xml:space="preserve"> según corresponda</w:t>
      </w:r>
      <w:r w:rsidR="004502D9">
        <w:rPr>
          <w:rFonts w:cs="Arial"/>
          <w:sz w:val="24"/>
          <w:szCs w:val="24"/>
        </w:rPr>
        <w:t>.</w:t>
      </w:r>
    </w:p>
    <w:p w:rsidR="002B6E66" w:rsidRDefault="004502D9" w:rsidP="003A5FB6">
      <w:pPr>
        <w:pStyle w:val="Textoindependiente"/>
        <w:numPr>
          <w:ilvl w:val="1"/>
          <w:numId w:val="4"/>
        </w:numPr>
        <w:tabs>
          <w:tab w:val="left" w:pos="1843"/>
        </w:tabs>
        <w:spacing w:before="120" w:after="120" w:line="360" w:lineRule="auto"/>
        <w:ind w:left="1843" w:hanging="709"/>
        <w:jc w:val="both"/>
        <w:rPr>
          <w:rFonts w:cs="Arial"/>
          <w:sz w:val="24"/>
          <w:szCs w:val="24"/>
        </w:rPr>
      </w:pPr>
      <w:r>
        <w:rPr>
          <w:rFonts w:cs="Arial"/>
          <w:sz w:val="24"/>
          <w:szCs w:val="24"/>
        </w:rPr>
        <w:t>E</w:t>
      </w:r>
      <w:r w:rsidR="00C51BC7">
        <w:rPr>
          <w:rFonts w:cs="Arial"/>
          <w:sz w:val="24"/>
          <w:szCs w:val="24"/>
        </w:rPr>
        <w:t xml:space="preserve">n cuanto al Capital de Trabajo </w:t>
      </w:r>
      <w:r w:rsidR="00C30E9A">
        <w:rPr>
          <w:rFonts w:cs="Arial"/>
          <w:sz w:val="24"/>
          <w:szCs w:val="24"/>
        </w:rPr>
        <w:t>debe</w:t>
      </w:r>
      <w:r w:rsidR="00C51BC7">
        <w:rPr>
          <w:rFonts w:cs="Arial"/>
          <w:sz w:val="24"/>
          <w:szCs w:val="24"/>
        </w:rPr>
        <w:t>rá</w:t>
      </w:r>
      <w:r>
        <w:rPr>
          <w:rFonts w:cs="Arial"/>
          <w:sz w:val="24"/>
          <w:szCs w:val="24"/>
        </w:rPr>
        <w:t>n</w:t>
      </w:r>
      <w:r w:rsidR="00C51BC7">
        <w:rPr>
          <w:rFonts w:cs="Arial"/>
          <w:sz w:val="24"/>
          <w:szCs w:val="24"/>
        </w:rPr>
        <w:t xml:space="preserve"> acreditar</w:t>
      </w:r>
      <w:r>
        <w:rPr>
          <w:rFonts w:cs="Arial"/>
          <w:sz w:val="24"/>
          <w:szCs w:val="24"/>
        </w:rPr>
        <w:t xml:space="preserve"> de manera individual cuando menos el 50% del monto de Capital de Trabajo requerido en bases, indistintamente del número de empresas que participen de manera conjunta</w:t>
      </w:r>
      <w:r w:rsidR="002B6E66">
        <w:rPr>
          <w:rFonts w:cs="Arial"/>
          <w:sz w:val="24"/>
          <w:szCs w:val="24"/>
        </w:rPr>
        <w:t>.</w:t>
      </w:r>
    </w:p>
    <w:p w:rsidR="000A175F" w:rsidRPr="00490C22" w:rsidRDefault="000A175F" w:rsidP="00490C22">
      <w:pPr>
        <w:spacing w:line="360" w:lineRule="auto"/>
        <w:ind w:right="48"/>
        <w:jc w:val="both"/>
        <w:rPr>
          <w:rFonts w:ascii="Arial" w:hAnsi="Arial" w:cs="Arial"/>
          <w:noProof/>
          <w:lang w:eastAsia="es-MX"/>
        </w:rPr>
      </w:pPr>
    </w:p>
    <w:p w:rsidR="005C6384" w:rsidRPr="008B66BC" w:rsidRDefault="005C6384" w:rsidP="003A5FB6">
      <w:pPr>
        <w:pStyle w:val="Textoindependiente"/>
        <w:numPr>
          <w:ilvl w:val="0"/>
          <w:numId w:val="4"/>
        </w:numPr>
        <w:spacing w:before="120" w:after="120" w:line="360" w:lineRule="auto"/>
        <w:ind w:left="1134" w:hanging="567"/>
        <w:jc w:val="both"/>
        <w:rPr>
          <w:rFonts w:cs="Arial"/>
          <w:sz w:val="24"/>
          <w:szCs w:val="24"/>
        </w:rPr>
      </w:pPr>
      <w:r w:rsidRPr="008B66BC">
        <w:rPr>
          <w:rFonts w:cs="Arial"/>
          <w:sz w:val="24"/>
          <w:szCs w:val="24"/>
        </w:rPr>
        <w:t>En materia de arrendamientos, prestación de servicios o adquisiciones:</w:t>
      </w:r>
    </w:p>
    <w:p w:rsidR="005C6384" w:rsidRDefault="005C6384" w:rsidP="000A175F">
      <w:pPr>
        <w:pStyle w:val="Textoindependiente"/>
        <w:numPr>
          <w:ilvl w:val="0"/>
          <w:numId w:val="5"/>
        </w:numPr>
        <w:spacing w:before="120" w:after="360" w:line="360" w:lineRule="auto"/>
        <w:ind w:left="1843" w:hanging="709"/>
        <w:jc w:val="both"/>
        <w:rPr>
          <w:rFonts w:cs="Arial"/>
          <w:sz w:val="24"/>
          <w:szCs w:val="24"/>
        </w:rPr>
      </w:pPr>
      <w:r w:rsidRPr="008B66BC">
        <w:rPr>
          <w:rFonts w:cs="Arial"/>
          <w:sz w:val="24"/>
          <w:szCs w:val="24"/>
        </w:rPr>
        <w:t>En el caso de arrendamientos o prestación de servicios, en general</w:t>
      </w:r>
      <w:r w:rsidR="00291265">
        <w:rPr>
          <w:rFonts w:cs="Arial"/>
          <w:sz w:val="24"/>
          <w:szCs w:val="24"/>
        </w:rPr>
        <w:t xml:space="preserve"> se aplicarán los p</w:t>
      </w:r>
      <w:r w:rsidR="00C30E9A">
        <w:rPr>
          <w:rFonts w:cs="Arial"/>
          <w:sz w:val="24"/>
          <w:szCs w:val="24"/>
        </w:rPr>
        <w:t>arámetros de la siguiente tabla</w:t>
      </w:r>
      <w:r w:rsidRPr="008B66BC">
        <w:rPr>
          <w:rFonts w:cs="Arial"/>
          <w:sz w:val="24"/>
          <w:szCs w:val="24"/>
        </w:rPr>
        <w:t>:</w:t>
      </w:r>
    </w:p>
    <w:tbl>
      <w:tblPr>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1009"/>
        <w:gridCol w:w="1440"/>
        <w:gridCol w:w="1440"/>
        <w:gridCol w:w="1922"/>
      </w:tblGrid>
      <w:tr w:rsidR="005C6384" w:rsidRPr="008B66BC" w:rsidTr="00F03930">
        <w:trPr>
          <w:jc w:val="center"/>
        </w:trPr>
        <w:tc>
          <w:tcPr>
            <w:tcW w:w="1640" w:type="dxa"/>
            <w:vMerge w:val="restart"/>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Descripción</w:t>
            </w:r>
          </w:p>
        </w:tc>
        <w:tc>
          <w:tcPr>
            <w:tcW w:w="1009" w:type="dxa"/>
            <w:vMerge w:val="restart"/>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Fórmula</w:t>
            </w:r>
          </w:p>
        </w:tc>
        <w:tc>
          <w:tcPr>
            <w:tcW w:w="4802" w:type="dxa"/>
            <w:gridSpan w:val="3"/>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F03930">
        <w:trPr>
          <w:trHeight w:val="385"/>
          <w:jc w:val="center"/>
        </w:trPr>
        <w:tc>
          <w:tcPr>
            <w:tcW w:w="1640" w:type="dxa"/>
            <w:vMerge/>
            <w:shd w:val="clear" w:color="auto" w:fill="F3F3F3"/>
            <w:vAlign w:val="center"/>
          </w:tcPr>
          <w:p w:rsidR="005C6384" w:rsidRPr="008B66BC" w:rsidRDefault="005C6384" w:rsidP="00F03930">
            <w:pPr>
              <w:spacing w:line="360" w:lineRule="auto"/>
              <w:jc w:val="center"/>
              <w:rPr>
                <w:rFonts w:ascii="Arial" w:hAnsi="Arial" w:cs="Arial"/>
                <w:b/>
                <w:sz w:val="15"/>
                <w:szCs w:val="15"/>
              </w:rPr>
            </w:pPr>
          </w:p>
        </w:tc>
        <w:tc>
          <w:tcPr>
            <w:tcW w:w="1009" w:type="dxa"/>
            <w:vMerge/>
            <w:shd w:val="clear" w:color="auto" w:fill="F3F3F3"/>
            <w:vAlign w:val="center"/>
          </w:tcPr>
          <w:p w:rsidR="005C6384" w:rsidRPr="008B66BC" w:rsidRDefault="005C6384" w:rsidP="00F03930">
            <w:pPr>
              <w:spacing w:line="360" w:lineRule="auto"/>
              <w:jc w:val="center"/>
              <w:rPr>
                <w:rFonts w:ascii="Arial" w:hAnsi="Arial" w:cs="Arial"/>
                <w:b/>
                <w:sz w:val="15"/>
                <w:szCs w:val="15"/>
              </w:rPr>
            </w:pPr>
          </w:p>
        </w:tc>
        <w:tc>
          <w:tcPr>
            <w:tcW w:w="1440"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Aceptable</w:t>
            </w:r>
          </w:p>
        </w:tc>
        <w:tc>
          <w:tcPr>
            <w:tcW w:w="1440"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Poco favorable</w:t>
            </w:r>
          </w:p>
        </w:tc>
        <w:tc>
          <w:tcPr>
            <w:tcW w:w="1922"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Desfavorable</w:t>
            </w:r>
          </w:p>
        </w:tc>
      </w:tr>
      <w:tr w:rsidR="005C6384" w:rsidRPr="008B66BC" w:rsidTr="00F03930">
        <w:trPr>
          <w:jc w:val="center"/>
        </w:trPr>
        <w:tc>
          <w:tcPr>
            <w:tcW w:w="1640"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 xml:space="preserve">Liquidez </w:t>
            </w:r>
          </w:p>
        </w:tc>
        <w:tc>
          <w:tcPr>
            <w:tcW w:w="1009"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AC / PC</w:t>
            </w:r>
          </w:p>
        </w:tc>
        <w:tc>
          <w:tcPr>
            <w:tcW w:w="1440" w:type="dxa"/>
            <w:vAlign w:val="center"/>
          </w:tcPr>
          <w:p w:rsidR="005C6384" w:rsidRPr="008B66BC" w:rsidRDefault="00B85BF7" w:rsidP="00F03930">
            <w:pPr>
              <w:spacing w:line="360" w:lineRule="auto"/>
              <w:jc w:val="center"/>
              <w:rPr>
                <w:rFonts w:ascii="Arial" w:hAnsi="Arial" w:cs="Arial"/>
                <w:sz w:val="15"/>
                <w:szCs w:val="15"/>
              </w:rPr>
            </w:pPr>
            <w:r>
              <w:rPr>
                <w:rFonts w:ascii="Arial" w:hAnsi="Arial" w:cs="Arial"/>
                <w:sz w:val="15"/>
                <w:szCs w:val="15"/>
              </w:rPr>
              <w:t>Superior al 1.0</w:t>
            </w:r>
            <w:r w:rsidR="005C6384" w:rsidRPr="008B66BC">
              <w:rPr>
                <w:rFonts w:ascii="Arial" w:hAnsi="Arial" w:cs="Arial"/>
                <w:sz w:val="15"/>
                <w:szCs w:val="15"/>
              </w:rPr>
              <w:t xml:space="preserve">5 </w:t>
            </w:r>
          </w:p>
        </w:tc>
        <w:tc>
          <w:tcPr>
            <w:tcW w:w="1440" w:type="dxa"/>
            <w:vAlign w:val="center"/>
          </w:tcPr>
          <w:p w:rsidR="005C6384" w:rsidRPr="008B66BC" w:rsidRDefault="005C6384" w:rsidP="00B85BF7">
            <w:pPr>
              <w:spacing w:line="360" w:lineRule="auto"/>
              <w:jc w:val="center"/>
              <w:rPr>
                <w:rFonts w:ascii="Arial" w:hAnsi="Arial" w:cs="Arial"/>
                <w:sz w:val="15"/>
                <w:szCs w:val="15"/>
              </w:rPr>
            </w:pPr>
            <w:r w:rsidRPr="008B66BC">
              <w:rPr>
                <w:rFonts w:ascii="Arial" w:hAnsi="Arial" w:cs="Arial"/>
                <w:sz w:val="15"/>
                <w:szCs w:val="15"/>
              </w:rPr>
              <w:t>1.</w:t>
            </w:r>
            <w:r w:rsidR="00B85BF7">
              <w:rPr>
                <w:rFonts w:ascii="Arial" w:hAnsi="Arial" w:cs="Arial"/>
                <w:sz w:val="15"/>
                <w:szCs w:val="15"/>
              </w:rPr>
              <w:t>0</w:t>
            </w:r>
            <w:r w:rsidRPr="008B66BC">
              <w:rPr>
                <w:rFonts w:ascii="Arial" w:hAnsi="Arial" w:cs="Arial"/>
                <w:sz w:val="15"/>
                <w:szCs w:val="15"/>
              </w:rPr>
              <w:t>5 a 1.00</w:t>
            </w:r>
          </w:p>
        </w:tc>
        <w:tc>
          <w:tcPr>
            <w:tcW w:w="1922"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Menor a 1.00</w:t>
            </w:r>
          </w:p>
        </w:tc>
      </w:tr>
      <w:tr w:rsidR="005C6384" w:rsidRPr="008B66BC" w:rsidTr="00F03930">
        <w:trPr>
          <w:jc w:val="center"/>
        </w:trPr>
        <w:tc>
          <w:tcPr>
            <w:tcW w:w="1640"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Solvencia</w:t>
            </w:r>
          </w:p>
        </w:tc>
        <w:tc>
          <w:tcPr>
            <w:tcW w:w="1009"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PT / AT</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85% o Inferior</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85.01% al 90%</w:t>
            </w:r>
          </w:p>
        </w:tc>
        <w:tc>
          <w:tcPr>
            <w:tcW w:w="1922"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Mayor al 90%</w:t>
            </w:r>
          </w:p>
        </w:tc>
      </w:tr>
      <w:tr w:rsidR="005C6384" w:rsidRPr="008B66BC" w:rsidTr="00F03930">
        <w:trPr>
          <w:jc w:val="center"/>
        </w:trPr>
        <w:tc>
          <w:tcPr>
            <w:tcW w:w="1640"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Apalancamiento</w:t>
            </w:r>
          </w:p>
        </w:tc>
        <w:tc>
          <w:tcPr>
            <w:tcW w:w="1009"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PT / CC</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300% o Inferior</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300.01% al 400%</w:t>
            </w:r>
          </w:p>
        </w:tc>
        <w:tc>
          <w:tcPr>
            <w:tcW w:w="1922"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Mayor al 400%</w:t>
            </w:r>
          </w:p>
        </w:tc>
      </w:tr>
      <w:tr w:rsidR="007678C3" w:rsidRPr="008B66BC" w:rsidTr="00426273">
        <w:trPr>
          <w:jc w:val="center"/>
        </w:trPr>
        <w:tc>
          <w:tcPr>
            <w:tcW w:w="1640" w:type="dxa"/>
            <w:vAlign w:val="center"/>
          </w:tcPr>
          <w:p w:rsidR="007678C3" w:rsidRPr="008B66BC" w:rsidRDefault="007678C3" w:rsidP="00F03930">
            <w:pPr>
              <w:spacing w:line="360" w:lineRule="auto"/>
              <w:rPr>
                <w:rFonts w:ascii="Arial" w:hAnsi="Arial" w:cs="Arial"/>
                <w:sz w:val="15"/>
                <w:szCs w:val="15"/>
              </w:rPr>
            </w:pPr>
            <w:r w:rsidRPr="008B66BC">
              <w:rPr>
                <w:rFonts w:ascii="Arial" w:hAnsi="Arial" w:cs="Arial"/>
                <w:sz w:val="15"/>
                <w:szCs w:val="15"/>
              </w:rPr>
              <w:t>Capital de Trabajo</w:t>
            </w:r>
          </w:p>
        </w:tc>
        <w:tc>
          <w:tcPr>
            <w:tcW w:w="1009" w:type="dxa"/>
            <w:vAlign w:val="center"/>
          </w:tcPr>
          <w:p w:rsidR="007678C3" w:rsidRPr="008B66BC" w:rsidRDefault="007678C3" w:rsidP="00F03930">
            <w:pPr>
              <w:spacing w:line="360" w:lineRule="auto"/>
              <w:rPr>
                <w:rFonts w:ascii="Arial" w:hAnsi="Arial" w:cs="Arial"/>
                <w:sz w:val="15"/>
                <w:szCs w:val="15"/>
              </w:rPr>
            </w:pPr>
            <w:r w:rsidRPr="008B66BC">
              <w:rPr>
                <w:rFonts w:ascii="Arial" w:hAnsi="Arial" w:cs="Arial"/>
                <w:sz w:val="15"/>
                <w:szCs w:val="15"/>
              </w:rPr>
              <w:t>AC - PC</w:t>
            </w:r>
          </w:p>
        </w:tc>
        <w:tc>
          <w:tcPr>
            <w:tcW w:w="1440" w:type="dxa"/>
            <w:vAlign w:val="center"/>
          </w:tcPr>
          <w:p w:rsidR="007678C3" w:rsidRPr="008B66BC" w:rsidRDefault="007678C3" w:rsidP="002B6E66">
            <w:pPr>
              <w:jc w:val="center"/>
              <w:rPr>
                <w:rFonts w:ascii="Arial" w:hAnsi="Arial" w:cs="Arial"/>
                <w:sz w:val="15"/>
                <w:szCs w:val="15"/>
              </w:rPr>
            </w:pPr>
            <w:r w:rsidRPr="008B66BC">
              <w:rPr>
                <w:rFonts w:ascii="Arial" w:hAnsi="Arial" w:cs="Arial"/>
                <w:sz w:val="15"/>
                <w:szCs w:val="15"/>
              </w:rPr>
              <w:t>Cualquier resultado positivo, el cual deberá evaluarse atendiendo a la naturaleza y/o monto del contrato a adjudicar</w:t>
            </w:r>
          </w:p>
        </w:tc>
        <w:tc>
          <w:tcPr>
            <w:tcW w:w="1440" w:type="dxa"/>
            <w:vAlign w:val="center"/>
          </w:tcPr>
          <w:p w:rsidR="007678C3" w:rsidRPr="000720A6" w:rsidRDefault="007678C3" w:rsidP="002B6E66">
            <w:pPr>
              <w:jc w:val="center"/>
              <w:rPr>
                <w:rFonts w:ascii="Arial" w:hAnsi="Arial" w:cs="Arial"/>
                <w:sz w:val="15"/>
                <w:szCs w:val="15"/>
              </w:rPr>
            </w:pPr>
            <w:r w:rsidRPr="000720A6">
              <w:rPr>
                <w:rFonts w:ascii="Arial" w:hAnsi="Arial" w:cs="Arial"/>
                <w:sz w:val="15"/>
                <w:szCs w:val="15"/>
              </w:rPr>
              <w:t>No aplica</w:t>
            </w:r>
          </w:p>
        </w:tc>
        <w:tc>
          <w:tcPr>
            <w:tcW w:w="1922" w:type="dxa"/>
            <w:vAlign w:val="center"/>
          </w:tcPr>
          <w:p w:rsidR="007678C3" w:rsidRPr="008B66BC" w:rsidRDefault="007678C3" w:rsidP="002B6E66">
            <w:pPr>
              <w:jc w:val="center"/>
              <w:rPr>
                <w:rFonts w:ascii="Arial" w:hAnsi="Arial" w:cs="Arial"/>
                <w:sz w:val="15"/>
                <w:szCs w:val="15"/>
              </w:rPr>
            </w:pPr>
            <w:r w:rsidRPr="008B66BC">
              <w:rPr>
                <w:rFonts w:ascii="Arial" w:hAnsi="Arial" w:cs="Arial"/>
                <w:sz w:val="15"/>
                <w:szCs w:val="15"/>
              </w:rPr>
              <w:t>Cualquier resultado con signo negativo</w:t>
            </w:r>
          </w:p>
        </w:tc>
      </w:tr>
    </w:tbl>
    <w:p w:rsidR="005C6384" w:rsidRDefault="005C6384" w:rsidP="000A175F">
      <w:pPr>
        <w:pStyle w:val="Textoindependiente"/>
        <w:numPr>
          <w:ilvl w:val="0"/>
          <w:numId w:val="5"/>
        </w:numPr>
        <w:spacing w:before="360" w:after="360" w:line="360" w:lineRule="auto"/>
        <w:ind w:left="1843" w:hanging="709"/>
        <w:jc w:val="both"/>
        <w:rPr>
          <w:rFonts w:cs="Arial"/>
          <w:sz w:val="24"/>
          <w:szCs w:val="24"/>
        </w:rPr>
      </w:pPr>
      <w:r w:rsidRPr="008B66BC">
        <w:rPr>
          <w:rFonts w:cs="Arial"/>
          <w:sz w:val="24"/>
          <w:szCs w:val="24"/>
        </w:rPr>
        <w:t>Para adquisiciones en general, asimismo para el caso de entidades cuyo objeto social, entre otros, sea la comercialización y distribución de bienes muebles en general:</w:t>
      </w:r>
    </w:p>
    <w:tbl>
      <w:tblPr>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40"/>
        <w:gridCol w:w="1440"/>
        <w:gridCol w:w="1440"/>
        <w:gridCol w:w="1766"/>
      </w:tblGrid>
      <w:tr w:rsidR="005C6384" w:rsidRPr="008B66BC" w:rsidTr="00F03930">
        <w:trPr>
          <w:jc w:val="center"/>
        </w:trPr>
        <w:tc>
          <w:tcPr>
            <w:tcW w:w="1809" w:type="dxa"/>
            <w:vMerge w:val="restart"/>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Descripción</w:t>
            </w:r>
          </w:p>
        </w:tc>
        <w:tc>
          <w:tcPr>
            <w:tcW w:w="840" w:type="dxa"/>
            <w:vMerge w:val="restart"/>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Fórmula</w:t>
            </w:r>
          </w:p>
        </w:tc>
        <w:tc>
          <w:tcPr>
            <w:tcW w:w="4646" w:type="dxa"/>
            <w:gridSpan w:val="3"/>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F03930">
        <w:trPr>
          <w:trHeight w:val="385"/>
          <w:jc w:val="center"/>
        </w:trPr>
        <w:tc>
          <w:tcPr>
            <w:tcW w:w="1809" w:type="dxa"/>
            <w:vMerge/>
            <w:shd w:val="clear" w:color="auto" w:fill="F3F3F3"/>
            <w:vAlign w:val="center"/>
          </w:tcPr>
          <w:p w:rsidR="005C6384" w:rsidRPr="008B66BC" w:rsidRDefault="005C6384" w:rsidP="00F03930">
            <w:pPr>
              <w:spacing w:line="360" w:lineRule="auto"/>
              <w:jc w:val="center"/>
              <w:rPr>
                <w:rFonts w:ascii="Arial" w:hAnsi="Arial" w:cs="Arial"/>
                <w:b/>
                <w:sz w:val="15"/>
                <w:szCs w:val="15"/>
              </w:rPr>
            </w:pPr>
          </w:p>
        </w:tc>
        <w:tc>
          <w:tcPr>
            <w:tcW w:w="840" w:type="dxa"/>
            <w:vMerge/>
            <w:shd w:val="clear" w:color="auto" w:fill="F3F3F3"/>
            <w:vAlign w:val="center"/>
          </w:tcPr>
          <w:p w:rsidR="005C6384" w:rsidRPr="008B66BC" w:rsidRDefault="005C6384" w:rsidP="00F03930">
            <w:pPr>
              <w:spacing w:line="360" w:lineRule="auto"/>
              <w:jc w:val="center"/>
              <w:rPr>
                <w:rFonts w:ascii="Arial" w:hAnsi="Arial" w:cs="Arial"/>
                <w:b/>
                <w:sz w:val="15"/>
                <w:szCs w:val="15"/>
              </w:rPr>
            </w:pPr>
          </w:p>
        </w:tc>
        <w:tc>
          <w:tcPr>
            <w:tcW w:w="1440"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Aceptable</w:t>
            </w:r>
          </w:p>
        </w:tc>
        <w:tc>
          <w:tcPr>
            <w:tcW w:w="1440"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Poco favorable</w:t>
            </w:r>
          </w:p>
        </w:tc>
        <w:tc>
          <w:tcPr>
            <w:tcW w:w="1766" w:type="dxa"/>
            <w:shd w:val="clear" w:color="auto" w:fill="F3F3F3"/>
            <w:vAlign w:val="center"/>
          </w:tcPr>
          <w:p w:rsidR="005C6384" w:rsidRPr="008B66BC" w:rsidRDefault="005C6384" w:rsidP="00F03930">
            <w:pPr>
              <w:spacing w:line="360" w:lineRule="auto"/>
              <w:jc w:val="center"/>
              <w:rPr>
                <w:rFonts w:ascii="Arial" w:hAnsi="Arial" w:cs="Arial"/>
                <w:b/>
                <w:sz w:val="15"/>
                <w:szCs w:val="15"/>
              </w:rPr>
            </w:pPr>
            <w:r w:rsidRPr="008B66BC">
              <w:rPr>
                <w:rFonts w:ascii="Arial" w:hAnsi="Arial" w:cs="Arial"/>
                <w:b/>
                <w:sz w:val="15"/>
                <w:szCs w:val="15"/>
              </w:rPr>
              <w:t>Desfavorable</w:t>
            </w:r>
          </w:p>
        </w:tc>
      </w:tr>
      <w:tr w:rsidR="005C6384" w:rsidRPr="008B66BC" w:rsidTr="00F03930">
        <w:trPr>
          <w:jc w:val="center"/>
        </w:trPr>
        <w:tc>
          <w:tcPr>
            <w:tcW w:w="1809"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lastRenderedPageBreak/>
              <w:t xml:space="preserve">Liquidez </w:t>
            </w:r>
          </w:p>
        </w:tc>
        <w:tc>
          <w:tcPr>
            <w:tcW w:w="840"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AC / PC</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 xml:space="preserve">Superior al 1.05 </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1.05 a 1.00</w:t>
            </w:r>
          </w:p>
        </w:tc>
        <w:tc>
          <w:tcPr>
            <w:tcW w:w="1766"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Menor a 1.00</w:t>
            </w:r>
          </w:p>
        </w:tc>
      </w:tr>
      <w:tr w:rsidR="005C6384" w:rsidRPr="008B66BC" w:rsidTr="00F03930">
        <w:trPr>
          <w:jc w:val="center"/>
        </w:trPr>
        <w:tc>
          <w:tcPr>
            <w:tcW w:w="1809"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Solvencia</w:t>
            </w:r>
          </w:p>
        </w:tc>
        <w:tc>
          <w:tcPr>
            <w:tcW w:w="840" w:type="dxa"/>
            <w:vAlign w:val="center"/>
          </w:tcPr>
          <w:p w:rsidR="005C6384" w:rsidRPr="008B66BC" w:rsidRDefault="005C6384" w:rsidP="00F03930">
            <w:pPr>
              <w:spacing w:line="360" w:lineRule="auto"/>
              <w:rPr>
                <w:rFonts w:ascii="Arial" w:hAnsi="Arial" w:cs="Arial"/>
                <w:sz w:val="15"/>
                <w:szCs w:val="15"/>
              </w:rPr>
            </w:pPr>
            <w:r w:rsidRPr="008B66BC">
              <w:rPr>
                <w:rFonts w:ascii="Arial" w:hAnsi="Arial" w:cs="Arial"/>
                <w:sz w:val="15"/>
                <w:szCs w:val="15"/>
              </w:rPr>
              <w:t>PT / AT</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90% o Inferior</w:t>
            </w:r>
          </w:p>
        </w:tc>
        <w:tc>
          <w:tcPr>
            <w:tcW w:w="1440"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90.01% al 95%</w:t>
            </w:r>
          </w:p>
        </w:tc>
        <w:tc>
          <w:tcPr>
            <w:tcW w:w="1766" w:type="dxa"/>
            <w:vAlign w:val="center"/>
          </w:tcPr>
          <w:p w:rsidR="005C6384" w:rsidRPr="008B66BC" w:rsidRDefault="005C6384" w:rsidP="00F03930">
            <w:pPr>
              <w:spacing w:line="360" w:lineRule="auto"/>
              <w:jc w:val="center"/>
              <w:rPr>
                <w:rFonts w:ascii="Arial" w:hAnsi="Arial" w:cs="Arial"/>
                <w:sz w:val="15"/>
                <w:szCs w:val="15"/>
              </w:rPr>
            </w:pPr>
            <w:r w:rsidRPr="008B66BC">
              <w:rPr>
                <w:rFonts w:ascii="Arial" w:hAnsi="Arial" w:cs="Arial"/>
                <w:sz w:val="15"/>
                <w:szCs w:val="15"/>
              </w:rPr>
              <w:t>Mayor al 95%</w:t>
            </w:r>
          </w:p>
        </w:tc>
      </w:tr>
      <w:tr w:rsidR="00F50E2F" w:rsidRPr="008B66BC" w:rsidTr="00F50E2F">
        <w:trPr>
          <w:jc w:val="center"/>
        </w:trPr>
        <w:tc>
          <w:tcPr>
            <w:tcW w:w="1809" w:type="dxa"/>
            <w:vAlign w:val="center"/>
          </w:tcPr>
          <w:p w:rsidR="00F50E2F" w:rsidRPr="008B66BC" w:rsidRDefault="00F50E2F" w:rsidP="00F50E2F">
            <w:pPr>
              <w:spacing w:line="360" w:lineRule="auto"/>
              <w:rPr>
                <w:rFonts w:ascii="Arial" w:hAnsi="Arial" w:cs="Arial"/>
                <w:sz w:val="15"/>
                <w:szCs w:val="15"/>
              </w:rPr>
            </w:pPr>
            <w:r w:rsidRPr="008B66BC">
              <w:rPr>
                <w:rFonts w:ascii="Arial" w:hAnsi="Arial" w:cs="Arial"/>
                <w:sz w:val="15"/>
                <w:szCs w:val="15"/>
              </w:rPr>
              <w:t>Apalancamiento</w:t>
            </w:r>
          </w:p>
        </w:tc>
        <w:tc>
          <w:tcPr>
            <w:tcW w:w="840" w:type="dxa"/>
            <w:vAlign w:val="center"/>
          </w:tcPr>
          <w:p w:rsidR="00F50E2F" w:rsidRPr="008B66BC" w:rsidRDefault="00F50E2F" w:rsidP="00F50E2F">
            <w:pPr>
              <w:spacing w:line="360" w:lineRule="auto"/>
              <w:rPr>
                <w:rFonts w:ascii="Arial" w:hAnsi="Arial" w:cs="Arial"/>
                <w:sz w:val="15"/>
                <w:szCs w:val="15"/>
              </w:rPr>
            </w:pPr>
            <w:r w:rsidRPr="008B66BC">
              <w:rPr>
                <w:rFonts w:ascii="Arial" w:hAnsi="Arial" w:cs="Arial"/>
                <w:sz w:val="15"/>
                <w:szCs w:val="15"/>
              </w:rPr>
              <w:t>PT / CC</w:t>
            </w:r>
          </w:p>
        </w:tc>
        <w:tc>
          <w:tcPr>
            <w:tcW w:w="4646" w:type="dxa"/>
            <w:gridSpan w:val="3"/>
            <w:vAlign w:val="center"/>
          </w:tcPr>
          <w:p w:rsidR="00F50E2F" w:rsidRPr="008B66BC" w:rsidRDefault="00F50E2F" w:rsidP="00F03930">
            <w:pPr>
              <w:spacing w:line="360" w:lineRule="auto"/>
              <w:jc w:val="center"/>
              <w:rPr>
                <w:rFonts w:ascii="Arial" w:hAnsi="Arial" w:cs="Arial"/>
                <w:sz w:val="15"/>
                <w:szCs w:val="15"/>
              </w:rPr>
            </w:pPr>
            <w:r>
              <w:rPr>
                <w:rFonts w:ascii="Arial" w:hAnsi="Arial" w:cs="Arial"/>
                <w:sz w:val="15"/>
                <w:szCs w:val="15"/>
              </w:rPr>
              <w:t>No Aplica</w:t>
            </w:r>
          </w:p>
        </w:tc>
      </w:tr>
      <w:tr w:rsidR="00F50E2F" w:rsidRPr="008B66BC" w:rsidTr="00F50E2F">
        <w:trPr>
          <w:jc w:val="center"/>
        </w:trPr>
        <w:tc>
          <w:tcPr>
            <w:tcW w:w="1809" w:type="dxa"/>
            <w:vAlign w:val="center"/>
          </w:tcPr>
          <w:p w:rsidR="00F50E2F" w:rsidRPr="008B66BC" w:rsidRDefault="00F50E2F" w:rsidP="00F50E2F">
            <w:pPr>
              <w:spacing w:line="360" w:lineRule="auto"/>
              <w:rPr>
                <w:rFonts w:ascii="Arial" w:hAnsi="Arial" w:cs="Arial"/>
                <w:sz w:val="15"/>
                <w:szCs w:val="15"/>
              </w:rPr>
            </w:pPr>
            <w:r w:rsidRPr="008B66BC">
              <w:rPr>
                <w:rFonts w:ascii="Arial" w:hAnsi="Arial" w:cs="Arial"/>
                <w:sz w:val="15"/>
                <w:szCs w:val="15"/>
              </w:rPr>
              <w:t>Capital de Trabajo</w:t>
            </w:r>
          </w:p>
        </w:tc>
        <w:tc>
          <w:tcPr>
            <w:tcW w:w="840" w:type="dxa"/>
            <w:vAlign w:val="center"/>
          </w:tcPr>
          <w:p w:rsidR="00F50E2F" w:rsidRPr="008B66BC" w:rsidRDefault="00F50E2F" w:rsidP="00F50E2F">
            <w:pPr>
              <w:spacing w:line="360" w:lineRule="auto"/>
              <w:rPr>
                <w:rFonts w:ascii="Arial" w:hAnsi="Arial" w:cs="Arial"/>
                <w:sz w:val="15"/>
                <w:szCs w:val="15"/>
              </w:rPr>
            </w:pPr>
            <w:r w:rsidRPr="008B66BC">
              <w:rPr>
                <w:rFonts w:ascii="Arial" w:hAnsi="Arial" w:cs="Arial"/>
                <w:sz w:val="15"/>
                <w:szCs w:val="15"/>
              </w:rPr>
              <w:t>AC - PC</w:t>
            </w:r>
          </w:p>
        </w:tc>
        <w:tc>
          <w:tcPr>
            <w:tcW w:w="4646" w:type="dxa"/>
            <w:gridSpan w:val="3"/>
            <w:vAlign w:val="center"/>
          </w:tcPr>
          <w:p w:rsidR="00F50E2F" w:rsidRPr="008B66BC" w:rsidRDefault="00F50E2F" w:rsidP="00F03930">
            <w:pPr>
              <w:spacing w:line="360" w:lineRule="auto"/>
              <w:jc w:val="center"/>
              <w:rPr>
                <w:rFonts w:ascii="Arial" w:hAnsi="Arial" w:cs="Arial"/>
                <w:sz w:val="15"/>
                <w:szCs w:val="15"/>
              </w:rPr>
            </w:pPr>
            <w:r>
              <w:rPr>
                <w:rFonts w:ascii="Arial" w:hAnsi="Arial" w:cs="Arial"/>
                <w:sz w:val="15"/>
                <w:szCs w:val="15"/>
              </w:rPr>
              <w:t>No Aplica</w:t>
            </w:r>
          </w:p>
        </w:tc>
      </w:tr>
    </w:tbl>
    <w:p w:rsidR="00490C22" w:rsidRDefault="00490C22" w:rsidP="00490C22">
      <w:pPr>
        <w:spacing w:line="360" w:lineRule="auto"/>
        <w:ind w:right="48"/>
        <w:jc w:val="both"/>
        <w:rPr>
          <w:rFonts w:ascii="Arial" w:hAnsi="Arial" w:cs="Arial"/>
          <w:noProof/>
          <w:lang w:eastAsia="es-MX"/>
        </w:rPr>
      </w:pPr>
    </w:p>
    <w:p w:rsidR="005C6384" w:rsidRDefault="005C6384" w:rsidP="00490C22">
      <w:pPr>
        <w:pStyle w:val="Textoindependiente"/>
        <w:numPr>
          <w:ilvl w:val="0"/>
          <w:numId w:val="4"/>
        </w:numPr>
        <w:spacing w:before="120" w:after="240" w:line="360" w:lineRule="auto"/>
        <w:ind w:left="1134" w:hanging="567"/>
        <w:jc w:val="both"/>
        <w:rPr>
          <w:rFonts w:cs="Arial"/>
          <w:sz w:val="24"/>
          <w:szCs w:val="24"/>
        </w:rPr>
      </w:pPr>
      <w:r w:rsidRPr="008B66BC">
        <w:rPr>
          <w:rFonts w:cs="Arial"/>
          <w:sz w:val="24"/>
          <w:szCs w:val="24"/>
        </w:rPr>
        <w:t>En materia de servicios prestados por personas morales o físicas, relativas a la realización de consultorías, asesorías, estudios e investigaciones, exceptuando los relacionados con obra pública:</w:t>
      </w:r>
    </w:p>
    <w:p w:rsidR="005C6384" w:rsidRPr="008B66BC" w:rsidRDefault="005C6384" w:rsidP="003A5FB6">
      <w:pPr>
        <w:pStyle w:val="Textoindependiente"/>
        <w:numPr>
          <w:ilvl w:val="0"/>
          <w:numId w:val="6"/>
        </w:numPr>
        <w:spacing w:before="120" w:after="120" w:line="360" w:lineRule="auto"/>
        <w:ind w:left="1843" w:hanging="709"/>
        <w:jc w:val="both"/>
        <w:rPr>
          <w:rFonts w:cs="Arial"/>
          <w:sz w:val="24"/>
          <w:szCs w:val="24"/>
        </w:rPr>
      </w:pPr>
      <w:r w:rsidRPr="008B66BC">
        <w:rPr>
          <w:rFonts w:cs="Arial"/>
          <w:sz w:val="24"/>
          <w:szCs w:val="24"/>
        </w:rPr>
        <w:t>Tratándose de personas morales, en general:</w:t>
      </w:r>
    </w:p>
    <w:tbl>
      <w:tblPr>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840"/>
        <w:gridCol w:w="1440"/>
        <w:gridCol w:w="1440"/>
        <w:gridCol w:w="1625"/>
      </w:tblGrid>
      <w:tr w:rsidR="005C6384" w:rsidRPr="008B66BC" w:rsidTr="00696873">
        <w:trPr>
          <w:jc w:val="center"/>
        </w:trPr>
        <w:tc>
          <w:tcPr>
            <w:tcW w:w="1809" w:type="dxa"/>
            <w:vMerge w:val="restart"/>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Descripción</w:t>
            </w:r>
          </w:p>
        </w:tc>
        <w:tc>
          <w:tcPr>
            <w:tcW w:w="840" w:type="dxa"/>
            <w:vMerge w:val="restart"/>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Fórmula</w:t>
            </w:r>
          </w:p>
        </w:tc>
        <w:tc>
          <w:tcPr>
            <w:tcW w:w="4505" w:type="dxa"/>
            <w:gridSpan w:val="3"/>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Evaluación de resultados</w:t>
            </w:r>
          </w:p>
        </w:tc>
      </w:tr>
      <w:tr w:rsidR="005C6384" w:rsidRPr="008B66BC" w:rsidTr="00696873">
        <w:trPr>
          <w:trHeight w:val="401"/>
          <w:jc w:val="center"/>
        </w:trPr>
        <w:tc>
          <w:tcPr>
            <w:tcW w:w="1809" w:type="dxa"/>
            <w:vMerge/>
            <w:shd w:val="clear" w:color="auto" w:fill="F3F3F3"/>
            <w:vAlign w:val="center"/>
          </w:tcPr>
          <w:p w:rsidR="005C6384" w:rsidRPr="008B66BC" w:rsidRDefault="005C6384" w:rsidP="00696873">
            <w:pPr>
              <w:spacing w:line="360" w:lineRule="auto"/>
              <w:jc w:val="center"/>
              <w:rPr>
                <w:rFonts w:ascii="Arial" w:hAnsi="Arial" w:cs="Arial"/>
                <w:b/>
                <w:sz w:val="15"/>
                <w:szCs w:val="15"/>
              </w:rPr>
            </w:pPr>
          </w:p>
        </w:tc>
        <w:tc>
          <w:tcPr>
            <w:tcW w:w="840" w:type="dxa"/>
            <w:vMerge/>
            <w:shd w:val="clear" w:color="auto" w:fill="F3F3F3"/>
            <w:vAlign w:val="center"/>
          </w:tcPr>
          <w:p w:rsidR="005C6384" w:rsidRPr="008B66BC" w:rsidRDefault="005C6384" w:rsidP="00696873">
            <w:pPr>
              <w:spacing w:line="360" w:lineRule="auto"/>
              <w:jc w:val="center"/>
              <w:rPr>
                <w:rFonts w:ascii="Arial" w:hAnsi="Arial" w:cs="Arial"/>
                <w:b/>
                <w:sz w:val="15"/>
                <w:szCs w:val="15"/>
              </w:rPr>
            </w:pPr>
          </w:p>
        </w:tc>
        <w:tc>
          <w:tcPr>
            <w:tcW w:w="1440" w:type="dxa"/>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Aceptable</w:t>
            </w:r>
          </w:p>
        </w:tc>
        <w:tc>
          <w:tcPr>
            <w:tcW w:w="1440" w:type="dxa"/>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Poco favorable</w:t>
            </w:r>
          </w:p>
        </w:tc>
        <w:tc>
          <w:tcPr>
            <w:tcW w:w="1625" w:type="dxa"/>
            <w:shd w:val="clear" w:color="auto" w:fill="F3F3F3"/>
            <w:vAlign w:val="center"/>
          </w:tcPr>
          <w:p w:rsidR="005C6384" w:rsidRPr="008B66BC" w:rsidRDefault="005C6384" w:rsidP="00696873">
            <w:pPr>
              <w:spacing w:line="360" w:lineRule="auto"/>
              <w:jc w:val="center"/>
              <w:rPr>
                <w:rFonts w:ascii="Arial" w:hAnsi="Arial" w:cs="Arial"/>
                <w:b/>
                <w:sz w:val="15"/>
                <w:szCs w:val="15"/>
              </w:rPr>
            </w:pPr>
            <w:r w:rsidRPr="008B66BC">
              <w:rPr>
                <w:rFonts w:ascii="Arial" w:hAnsi="Arial" w:cs="Arial"/>
                <w:b/>
                <w:sz w:val="15"/>
                <w:szCs w:val="15"/>
              </w:rPr>
              <w:t>Desfavorable</w:t>
            </w:r>
          </w:p>
        </w:tc>
      </w:tr>
      <w:tr w:rsidR="005C6384" w:rsidRPr="008B66BC" w:rsidTr="00696873">
        <w:trPr>
          <w:jc w:val="center"/>
        </w:trPr>
        <w:tc>
          <w:tcPr>
            <w:tcW w:w="1809"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 xml:space="preserve">Liquidez </w:t>
            </w:r>
          </w:p>
        </w:tc>
        <w:tc>
          <w:tcPr>
            <w:tcW w:w="840"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AC / PC</w:t>
            </w:r>
          </w:p>
        </w:tc>
        <w:tc>
          <w:tcPr>
            <w:tcW w:w="1440"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 xml:space="preserve">Superior al 0.90 </w:t>
            </w:r>
          </w:p>
        </w:tc>
        <w:tc>
          <w:tcPr>
            <w:tcW w:w="1440"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0.80 a 0.90</w:t>
            </w:r>
          </w:p>
        </w:tc>
        <w:tc>
          <w:tcPr>
            <w:tcW w:w="1625"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Menor a 0.80</w:t>
            </w:r>
          </w:p>
        </w:tc>
      </w:tr>
      <w:tr w:rsidR="005C6384" w:rsidRPr="008B66BC" w:rsidTr="00696873">
        <w:trPr>
          <w:jc w:val="center"/>
        </w:trPr>
        <w:tc>
          <w:tcPr>
            <w:tcW w:w="1809"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Solvencia</w:t>
            </w:r>
          </w:p>
        </w:tc>
        <w:tc>
          <w:tcPr>
            <w:tcW w:w="840"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PT / AT</w:t>
            </w:r>
          </w:p>
        </w:tc>
        <w:tc>
          <w:tcPr>
            <w:tcW w:w="1440"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95% o Inferior</w:t>
            </w:r>
          </w:p>
        </w:tc>
        <w:tc>
          <w:tcPr>
            <w:tcW w:w="1440"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95.01% al 100%</w:t>
            </w:r>
          </w:p>
        </w:tc>
        <w:tc>
          <w:tcPr>
            <w:tcW w:w="1625" w:type="dxa"/>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Mayor al 100%</w:t>
            </w:r>
          </w:p>
        </w:tc>
      </w:tr>
      <w:tr w:rsidR="005C6384" w:rsidRPr="008B66BC" w:rsidTr="00696873">
        <w:trPr>
          <w:jc w:val="center"/>
        </w:trPr>
        <w:tc>
          <w:tcPr>
            <w:tcW w:w="1809"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Apalancamiento</w:t>
            </w:r>
          </w:p>
        </w:tc>
        <w:tc>
          <w:tcPr>
            <w:tcW w:w="840"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PT / CC</w:t>
            </w:r>
          </w:p>
        </w:tc>
        <w:tc>
          <w:tcPr>
            <w:tcW w:w="4505" w:type="dxa"/>
            <w:gridSpan w:val="3"/>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No aplica</w:t>
            </w:r>
          </w:p>
        </w:tc>
      </w:tr>
      <w:tr w:rsidR="005C6384" w:rsidRPr="008B66BC" w:rsidTr="00696873">
        <w:trPr>
          <w:jc w:val="center"/>
        </w:trPr>
        <w:tc>
          <w:tcPr>
            <w:tcW w:w="1809"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Capital de Trabajo</w:t>
            </w:r>
          </w:p>
        </w:tc>
        <w:tc>
          <w:tcPr>
            <w:tcW w:w="840" w:type="dxa"/>
            <w:vAlign w:val="center"/>
          </w:tcPr>
          <w:p w:rsidR="005C6384" w:rsidRPr="008B66BC" w:rsidRDefault="005C6384" w:rsidP="00696873">
            <w:pPr>
              <w:spacing w:line="360" w:lineRule="auto"/>
              <w:rPr>
                <w:rFonts w:ascii="Arial" w:hAnsi="Arial" w:cs="Arial"/>
                <w:sz w:val="15"/>
                <w:szCs w:val="15"/>
              </w:rPr>
            </w:pPr>
            <w:r w:rsidRPr="008B66BC">
              <w:rPr>
                <w:rFonts w:ascii="Arial" w:hAnsi="Arial" w:cs="Arial"/>
                <w:sz w:val="15"/>
                <w:szCs w:val="15"/>
              </w:rPr>
              <w:t>AC - PC</w:t>
            </w:r>
          </w:p>
        </w:tc>
        <w:tc>
          <w:tcPr>
            <w:tcW w:w="4505" w:type="dxa"/>
            <w:gridSpan w:val="3"/>
            <w:vAlign w:val="center"/>
          </w:tcPr>
          <w:p w:rsidR="005C6384" w:rsidRPr="008B66BC" w:rsidRDefault="005C6384" w:rsidP="00696873">
            <w:pPr>
              <w:spacing w:line="360" w:lineRule="auto"/>
              <w:jc w:val="center"/>
              <w:rPr>
                <w:rFonts w:ascii="Arial" w:hAnsi="Arial" w:cs="Arial"/>
                <w:sz w:val="15"/>
                <w:szCs w:val="15"/>
              </w:rPr>
            </w:pPr>
            <w:r w:rsidRPr="008B66BC">
              <w:rPr>
                <w:rFonts w:ascii="Arial" w:hAnsi="Arial" w:cs="Arial"/>
                <w:sz w:val="15"/>
                <w:szCs w:val="15"/>
              </w:rPr>
              <w:t>No aplica</w:t>
            </w:r>
          </w:p>
        </w:tc>
      </w:tr>
    </w:tbl>
    <w:p w:rsidR="005C6384" w:rsidRDefault="005C6384" w:rsidP="003A5FB6">
      <w:pPr>
        <w:pStyle w:val="Textoindependiente"/>
        <w:numPr>
          <w:ilvl w:val="0"/>
          <w:numId w:val="6"/>
        </w:numPr>
        <w:spacing w:before="120" w:after="120" w:line="360" w:lineRule="auto"/>
        <w:ind w:left="1843" w:hanging="709"/>
        <w:jc w:val="both"/>
        <w:rPr>
          <w:rFonts w:cs="Arial"/>
          <w:sz w:val="24"/>
          <w:szCs w:val="24"/>
        </w:rPr>
      </w:pPr>
      <w:r w:rsidRPr="008B66BC">
        <w:rPr>
          <w:rFonts w:cs="Arial"/>
          <w:sz w:val="24"/>
          <w:szCs w:val="24"/>
        </w:rPr>
        <w:t>Tratándose de personas físicas, las medicion</w:t>
      </w:r>
      <w:r w:rsidR="00F50E2F">
        <w:rPr>
          <w:rFonts w:cs="Arial"/>
          <w:sz w:val="24"/>
          <w:szCs w:val="24"/>
        </w:rPr>
        <w:t>es financieras podrán aplicarse</w:t>
      </w:r>
      <w:r w:rsidRPr="008B66BC">
        <w:rPr>
          <w:rFonts w:cs="Arial"/>
          <w:sz w:val="24"/>
          <w:szCs w:val="24"/>
        </w:rPr>
        <w:t xml:space="preserve"> </w:t>
      </w:r>
      <w:r w:rsidR="00F50E2F" w:rsidRPr="00F50E2F">
        <w:rPr>
          <w:rFonts w:cs="Arial"/>
          <w:sz w:val="24"/>
          <w:szCs w:val="24"/>
          <w:lang w:val="es-ES_tradnl"/>
        </w:rPr>
        <w:t>a la documentación que cada una presente en sus propuestas</w:t>
      </w:r>
      <w:r w:rsidRPr="008B66BC">
        <w:rPr>
          <w:rFonts w:cs="Arial"/>
          <w:sz w:val="24"/>
          <w:szCs w:val="24"/>
        </w:rPr>
        <w:t>.</w:t>
      </w:r>
    </w:p>
    <w:p w:rsidR="00DE2B6D" w:rsidRDefault="00100711" w:rsidP="003A5FB6">
      <w:pPr>
        <w:pStyle w:val="Textoindependiente"/>
        <w:numPr>
          <w:ilvl w:val="0"/>
          <w:numId w:val="4"/>
        </w:numPr>
        <w:spacing w:before="120" w:after="120" w:line="360" w:lineRule="auto"/>
        <w:ind w:left="1134" w:hanging="567"/>
        <w:jc w:val="both"/>
        <w:rPr>
          <w:rFonts w:cs="Arial"/>
          <w:sz w:val="24"/>
          <w:szCs w:val="24"/>
        </w:rPr>
      </w:pPr>
      <w:r w:rsidRPr="000720A6">
        <w:rPr>
          <w:rFonts w:cs="Arial"/>
          <w:sz w:val="24"/>
          <w:szCs w:val="24"/>
        </w:rPr>
        <w:t>Solo en</w:t>
      </w:r>
      <w:r w:rsidR="00426273" w:rsidRPr="000720A6">
        <w:rPr>
          <w:rFonts w:cs="Arial"/>
          <w:sz w:val="24"/>
          <w:szCs w:val="24"/>
        </w:rPr>
        <w:t xml:space="preserve"> el caso de entidades que cuenten con la autorización de la Secretaría de Hacienda y Crédito Público para operar como instituciones de seguro</w:t>
      </w:r>
      <w:r w:rsidR="00DE2B6D" w:rsidRPr="000720A6">
        <w:rPr>
          <w:rFonts w:cs="Arial"/>
          <w:sz w:val="24"/>
          <w:szCs w:val="24"/>
        </w:rPr>
        <w:t>s</w:t>
      </w:r>
      <w:r w:rsidR="006C3C0E" w:rsidRPr="000720A6">
        <w:rPr>
          <w:rFonts w:cs="Arial"/>
          <w:sz w:val="24"/>
          <w:szCs w:val="24"/>
        </w:rPr>
        <w:t>, en lugar de aplicar las mediciones finan</w:t>
      </w:r>
      <w:r w:rsidR="00455829">
        <w:rPr>
          <w:rFonts w:cs="Arial"/>
          <w:sz w:val="24"/>
          <w:szCs w:val="24"/>
        </w:rPr>
        <w:t>cieras descritas en el numeral 5</w:t>
      </w:r>
      <w:bookmarkStart w:id="0" w:name="_GoBack"/>
      <w:bookmarkEnd w:id="0"/>
      <w:r w:rsidR="006C3C0E" w:rsidRPr="000720A6">
        <w:rPr>
          <w:rFonts w:cs="Arial"/>
          <w:sz w:val="24"/>
          <w:szCs w:val="24"/>
        </w:rPr>
        <w:t xml:space="preserve"> que antecede</w:t>
      </w:r>
      <w:r w:rsidR="005B000B" w:rsidRPr="000720A6">
        <w:rPr>
          <w:rFonts w:cs="Arial"/>
          <w:sz w:val="24"/>
          <w:szCs w:val="24"/>
        </w:rPr>
        <w:t>,</w:t>
      </w:r>
      <w:r w:rsidR="006C3C0E" w:rsidRPr="000720A6">
        <w:rPr>
          <w:rFonts w:cs="Arial"/>
          <w:sz w:val="24"/>
          <w:szCs w:val="24"/>
        </w:rPr>
        <w:t xml:space="preserve"> para acreditar su solvencia financiera se atenderá a los resultados de los índices re</w:t>
      </w:r>
      <w:r w:rsidR="005B000B" w:rsidRPr="000720A6">
        <w:rPr>
          <w:rFonts w:cs="Arial"/>
          <w:sz w:val="24"/>
          <w:szCs w:val="24"/>
        </w:rPr>
        <w:t>gulatorios que publique la Comisión Nacional de Seguros y Fianzas (CNSF),</w:t>
      </w:r>
      <w:r w:rsidR="006C3C0E" w:rsidRPr="000720A6">
        <w:rPr>
          <w:rFonts w:cs="Arial"/>
          <w:sz w:val="24"/>
          <w:szCs w:val="24"/>
        </w:rPr>
        <w:t xml:space="preserve"> </w:t>
      </w:r>
      <w:r w:rsidR="005B000B" w:rsidRPr="000720A6">
        <w:rPr>
          <w:rFonts w:cs="Arial"/>
          <w:sz w:val="24"/>
          <w:szCs w:val="24"/>
        </w:rPr>
        <w:t>vigentes</w:t>
      </w:r>
      <w:r w:rsidR="006C3C0E" w:rsidRPr="000720A6">
        <w:rPr>
          <w:rFonts w:cs="Arial"/>
          <w:sz w:val="24"/>
          <w:szCs w:val="24"/>
        </w:rPr>
        <w:t xml:space="preserve"> al momento de la apertura de propuestas</w:t>
      </w:r>
      <w:r w:rsidR="005B000B" w:rsidRPr="000720A6">
        <w:rPr>
          <w:rFonts w:cs="Arial"/>
          <w:sz w:val="24"/>
          <w:szCs w:val="24"/>
        </w:rPr>
        <w:t>, constatando que c</w:t>
      </w:r>
      <w:r w:rsidR="006C3C0E" w:rsidRPr="000720A6">
        <w:rPr>
          <w:rFonts w:cs="Arial"/>
          <w:sz w:val="24"/>
          <w:szCs w:val="24"/>
        </w:rPr>
        <w:t>uent</w:t>
      </w:r>
      <w:r w:rsidR="005B000B" w:rsidRPr="000720A6">
        <w:rPr>
          <w:rFonts w:cs="Arial"/>
          <w:sz w:val="24"/>
          <w:szCs w:val="24"/>
        </w:rPr>
        <w:t>an</w:t>
      </w:r>
      <w:r w:rsidR="006C3C0E" w:rsidRPr="000720A6">
        <w:rPr>
          <w:rFonts w:cs="Arial"/>
          <w:sz w:val="24"/>
          <w:szCs w:val="24"/>
        </w:rPr>
        <w:t xml:space="preserve"> con calificación favorable por parte de la </w:t>
      </w:r>
      <w:r w:rsidR="005B000B" w:rsidRPr="000720A6">
        <w:rPr>
          <w:rFonts w:cs="Arial"/>
          <w:sz w:val="24"/>
          <w:szCs w:val="24"/>
        </w:rPr>
        <w:t>CNSF</w:t>
      </w:r>
      <w:r w:rsidR="006C3C0E" w:rsidRPr="000720A6">
        <w:rPr>
          <w:rFonts w:cs="Arial"/>
          <w:sz w:val="24"/>
          <w:szCs w:val="24"/>
        </w:rPr>
        <w:t>, como órgano de supervisión</w:t>
      </w:r>
      <w:r w:rsidR="00DE2B6D" w:rsidRPr="000720A6">
        <w:rPr>
          <w:rFonts w:cs="Arial"/>
          <w:sz w:val="24"/>
          <w:szCs w:val="24"/>
        </w:rPr>
        <w:t xml:space="preserve"> y vigilancia</w:t>
      </w:r>
      <w:r w:rsidR="005B000B" w:rsidRPr="000720A6">
        <w:rPr>
          <w:rFonts w:cs="Arial"/>
          <w:sz w:val="24"/>
          <w:szCs w:val="24"/>
        </w:rPr>
        <w:t>.</w:t>
      </w:r>
    </w:p>
    <w:p w:rsidR="009C630A" w:rsidRDefault="00E31B4E" w:rsidP="003A5FB6">
      <w:pPr>
        <w:pStyle w:val="Textoindependiente"/>
        <w:numPr>
          <w:ilvl w:val="0"/>
          <w:numId w:val="13"/>
        </w:numPr>
        <w:tabs>
          <w:tab w:val="left" w:pos="900"/>
        </w:tabs>
        <w:spacing w:before="120" w:after="120" w:line="360" w:lineRule="auto"/>
        <w:jc w:val="both"/>
        <w:rPr>
          <w:rFonts w:cs="Arial"/>
          <w:sz w:val="24"/>
          <w:szCs w:val="24"/>
        </w:rPr>
      </w:pPr>
      <w:r w:rsidRPr="00531C52">
        <w:rPr>
          <w:rFonts w:cs="Arial"/>
          <w:sz w:val="24"/>
          <w:szCs w:val="24"/>
        </w:rPr>
        <w:t xml:space="preserve">Dentro de un plazo </w:t>
      </w:r>
      <w:r w:rsidR="00F5107F" w:rsidRPr="00531C52">
        <w:rPr>
          <w:rFonts w:cs="Arial"/>
          <w:sz w:val="24"/>
          <w:szCs w:val="24"/>
        </w:rPr>
        <w:t xml:space="preserve">que no </w:t>
      </w:r>
      <w:r w:rsidR="00FD7822" w:rsidRPr="00531C52">
        <w:rPr>
          <w:rFonts w:cs="Arial"/>
          <w:sz w:val="24"/>
          <w:szCs w:val="24"/>
        </w:rPr>
        <w:t xml:space="preserve">debe exceder </w:t>
      </w:r>
      <w:r w:rsidR="00E57CF3" w:rsidRPr="00531C52">
        <w:rPr>
          <w:rFonts w:cs="Arial"/>
          <w:sz w:val="24"/>
          <w:szCs w:val="24"/>
        </w:rPr>
        <w:t>al</w:t>
      </w:r>
      <w:r w:rsidR="00FD7822" w:rsidRPr="00531C52">
        <w:rPr>
          <w:rFonts w:cs="Arial"/>
          <w:sz w:val="24"/>
          <w:szCs w:val="24"/>
        </w:rPr>
        <w:t xml:space="preserve"> establecido en</w:t>
      </w:r>
      <w:r w:rsidR="000A175F">
        <w:rPr>
          <w:rFonts w:cs="Arial"/>
          <w:sz w:val="24"/>
          <w:szCs w:val="24"/>
        </w:rPr>
        <w:t xml:space="preserve"> la fracción III</w:t>
      </w:r>
      <w:r w:rsidR="00FD7822" w:rsidRPr="00531C52">
        <w:rPr>
          <w:rFonts w:cs="Arial"/>
          <w:sz w:val="24"/>
          <w:szCs w:val="24"/>
        </w:rPr>
        <w:t xml:space="preserve"> </w:t>
      </w:r>
      <w:r w:rsidR="000A175F">
        <w:rPr>
          <w:rFonts w:cs="Arial"/>
          <w:sz w:val="24"/>
          <w:szCs w:val="24"/>
        </w:rPr>
        <w:t>d</w:t>
      </w:r>
      <w:r w:rsidR="00FD7822" w:rsidRPr="00531C52">
        <w:rPr>
          <w:rFonts w:cs="Arial"/>
          <w:sz w:val="24"/>
          <w:szCs w:val="24"/>
        </w:rPr>
        <w:t xml:space="preserve">el artículo 72 del Acuerdo General, </w:t>
      </w:r>
      <w:r>
        <w:rPr>
          <w:rFonts w:cs="Arial"/>
          <w:sz w:val="24"/>
          <w:szCs w:val="24"/>
        </w:rPr>
        <w:t>c</w:t>
      </w:r>
      <w:r w:rsidR="005C6384" w:rsidRPr="008B66BC">
        <w:rPr>
          <w:rFonts w:cs="Arial"/>
          <w:sz w:val="24"/>
          <w:szCs w:val="24"/>
        </w:rPr>
        <w:t>on base en la evaluación de</w:t>
      </w:r>
      <w:r w:rsidR="00F50E2F">
        <w:rPr>
          <w:rFonts w:cs="Arial"/>
          <w:sz w:val="24"/>
          <w:szCs w:val="24"/>
        </w:rPr>
        <w:t xml:space="preserve"> los</w:t>
      </w:r>
      <w:r w:rsidR="005C6384" w:rsidRPr="008B66BC">
        <w:rPr>
          <w:rFonts w:cs="Arial"/>
          <w:sz w:val="24"/>
          <w:szCs w:val="24"/>
        </w:rPr>
        <w:t xml:space="preserve"> resultados, en términos del numeral </w:t>
      </w:r>
      <w:r w:rsidR="0032632D">
        <w:rPr>
          <w:rFonts w:cs="Arial"/>
          <w:sz w:val="24"/>
          <w:szCs w:val="24"/>
        </w:rPr>
        <w:t>6</w:t>
      </w:r>
      <w:r w:rsidR="005C6384" w:rsidRPr="008B66BC">
        <w:rPr>
          <w:rFonts w:cs="Arial"/>
          <w:sz w:val="24"/>
          <w:szCs w:val="24"/>
        </w:rPr>
        <w:t xml:space="preserve"> de los presentes lineamientos, la Coordinación Financiera deberá emitir su opinión respecto al grado de solvencia acreditada por cada uno de los participantes en los procesos de Licitación Pública Nacional e Invitación a </w:t>
      </w:r>
      <w:r w:rsidR="005C6384" w:rsidRPr="008B66BC">
        <w:rPr>
          <w:rFonts w:cs="Arial"/>
          <w:sz w:val="24"/>
          <w:szCs w:val="24"/>
        </w:rPr>
        <w:lastRenderedPageBreak/>
        <w:t>cuando menos tres proveedores o contratistas,</w:t>
      </w:r>
      <w:r w:rsidR="009C630A">
        <w:rPr>
          <w:rFonts w:cs="Arial"/>
          <w:sz w:val="24"/>
          <w:szCs w:val="24"/>
        </w:rPr>
        <w:t xml:space="preserve"> y en aquellos casos, de acuerdo a las características, magnitud y complejidad de los servicios o de los bienes a adjudicar o contratar se aplicará la interpretación de los Estados Financieros,</w:t>
      </w:r>
      <w:r w:rsidR="005C6384" w:rsidRPr="008B66BC">
        <w:rPr>
          <w:rFonts w:cs="Arial"/>
          <w:sz w:val="24"/>
          <w:szCs w:val="24"/>
        </w:rPr>
        <w:t xml:space="preserve"> procediendo a la formulación del dictamen resolutivo financiero, presentando en éste </w:t>
      </w:r>
      <w:r w:rsidR="00F50E2F">
        <w:rPr>
          <w:rFonts w:cs="Arial"/>
          <w:sz w:val="24"/>
          <w:szCs w:val="24"/>
        </w:rPr>
        <w:t>los</w:t>
      </w:r>
      <w:r w:rsidR="005C6384" w:rsidRPr="008B66BC">
        <w:rPr>
          <w:rFonts w:cs="Arial"/>
          <w:sz w:val="24"/>
          <w:szCs w:val="24"/>
        </w:rPr>
        <w:t xml:space="preserve"> resultados obtenidos</w:t>
      </w:r>
      <w:r w:rsidR="009C630A">
        <w:rPr>
          <w:rFonts w:cs="Arial"/>
          <w:sz w:val="24"/>
          <w:szCs w:val="24"/>
        </w:rPr>
        <w:t>.</w:t>
      </w:r>
    </w:p>
    <w:p w:rsidR="005C6384" w:rsidRDefault="009C630A" w:rsidP="00166CBB">
      <w:pPr>
        <w:pStyle w:val="Textoindependiente"/>
        <w:spacing w:before="120" w:after="120" w:line="360" w:lineRule="auto"/>
        <w:ind w:left="737"/>
        <w:jc w:val="both"/>
        <w:rPr>
          <w:rFonts w:cs="Arial"/>
          <w:sz w:val="24"/>
          <w:szCs w:val="24"/>
        </w:rPr>
      </w:pPr>
      <w:r>
        <w:rPr>
          <w:rFonts w:cs="Arial"/>
          <w:sz w:val="24"/>
          <w:szCs w:val="24"/>
        </w:rPr>
        <w:t>Para el caso de las razones financieras</w:t>
      </w:r>
      <w:r w:rsidR="005C6384" w:rsidRPr="00D2201C">
        <w:rPr>
          <w:rFonts w:cs="Arial"/>
          <w:sz w:val="24"/>
          <w:szCs w:val="24"/>
        </w:rPr>
        <w:t>,</w:t>
      </w:r>
      <w:r>
        <w:rPr>
          <w:rFonts w:cs="Arial"/>
          <w:sz w:val="24"/>
          <w:szCs w:val="24"/>
        </w:rPr>
        <w:t xml:space="preserve"> se</w:t>
      </w:r>
      <w:r w:rsidR="00D2201C" w:rsidRPr="00D2201C">
        <w:rPr>
          <w:rFonts w:cs="Arial"/>
          <w:sz w:val="24"/>
          <w:szCs w:val="24"/>
        </w:rPr>
        <w:t xml:space="preserve"> </w:t>
      </w:r>
      <w:r w:rsidR="00D2201C" w:rsidRPr="00DE2B6D">
        <w:rPr>
          <w:rFonts w:cs="Arial"/>
          <w:sz w:val="24"/>
          <w:szCs w:val="24"/>
        </w:rPr>
        <w:t>cita</w:t>
      </w:r>
      <w:r>
        <w:rPr>
          <w:rFonts w:cs="Arial"/>
          <w:sz w:val="24"/>
          <w:szCs w:val="24"/>
        </w:rPr>
        <w:t>rá</w:t>
      </w:r>
      <w:r w:rsidR="00D2201C" w:rsidRPr="00DE2B6D">
        <w:rPr>
          <w:rFonts w:cs="Arial"/>
          <w:sz w:val="24"/>
          <w:szCs w:val="24"/>
        </w:rPr>
        <w:t xml:space="preserve"> la fuente de la información sobre la cual </w:t>
      </w:r>
      <w:r w:rsidR="00166CBB">
        <w:rPr>
          <w:rFonts w:cs="Arial"/>
          <w:sz w:val="24"/>
          <w:szCs w:val="24"/>
        </w:rPr>
        <w:t>sustentó</w:t>
      </w:r>
      <w:r w:rsidR="00D2201C" w:rsidRPr="00DE2B6D">
        <w:rPr>
          <w:rFonts w:cs="Arial"/>
          <w:sz w:val="24"/>
          <w:szCs w:val="24"/>
        </w:rPr>
        <w:t xml:space="preserve"> </w:t>
      </w:r>
      <w:r w:rsidR="00F50E2F">
        <w:rPr>
          <w:rFonts w:cs="Arial"/>
          <w:sz w:val="24"/>
          <w:szCs w:val="24"/>
        </w:rPr>
        <w:t>la aplicación de las mediciones financieras</w:t>
      </w:r>
      <w:r w:rsidR="00D2201C" w:rsidRPr="00DE2B6D">
        <w:rPr>
          <w:rFonts w:cs="Arial"/>
          <w:sz w:val="24"/>
          <w:szCs w:val="24"/>
        </w:rPr>
        <w:t>, que en todos los casos corresponderá a los estados financie</w:t>
      </w:r>
      <w:r w:rsidR="000D37E9" w:rsidRPr="00DE2B6D">
        <w:rPr>
          <w:rFonts w:cs="Arial"/>
          <w:sz w:val="24"/>
          <w:szCs w:val="24"/>
        </w:rPr>
        <w:t>ros del ejercicio fiscal</w:t>
      </w:r>
      <w:r w:rsidR="006A170A">
        <w:rPr>
          <w:rFonts w:cs="Arial"/>
          <w:sz w:val="24"/>
          <w:szCs w:val="24"/>
        </w:rPr>
        <w:t xml:space="preserve"> más reciente objeto del análisis</w:t>
      </w:r>
      <w:r w:rsidR="00D2201C" w:rsidRPr="00DE2B6D">
        <w:rPr>
          <w:rFonts w:cs="Arial"/>
          <w:sz w:val="24"/>
          <w:szCs w:val="24"/>
        </w:rPr>
        <w:t>,</w:t>
      </w:r>
      <w:r w:rsidR="005B000B">
        <w:rPr>
          <w:rFonts w:cs="Arial"/>
          <w:sz w:val="24"/>
          <w:szCs w:val="24"/>
        </w:rPr>
        <w:t xml:space="preserve"> </w:t>
      </w:r>
      <w:r w:rsidR="005C6384" w:rsidRPr="00D2201C">
        <w:rPr>
          <w:rFonts w:cs="Arial"/>
          <w:sz w:val="24"/>
          <w:szCs w:val="24"/>
        </w:rPr>
        <w:t>con las siguientes consideraciones:</w:t>
      </w:r>
    </w:p>
    <w:p w:rsidR="00A73CAD" w:rsidRPr="00490C22" w:rsidRDefault="00A73CAD" w:rsidP="00490C22">
      <w:pPr>
        <w:spacing w:line="360" w:lineRule="auto"/>
        <w:ind w:right="48"/>
        <w:jc w:val="both"/>
        <w:rPr>
          <w:rFonts w:ascii="Arial" w:hAnsi="Arial" w:cs="Arial"/>
          <w:noProof/>
          <w:lang w:eastAsia="es-MX"/>
        </w:rPr>
      </w:pPr>
    </w:p>
    <w:p w:rsidR="006276D9" w:rsidRDefault="006276D9" w:rsidP="00166CBB">
      <w:pPr>
        <w:pStyle w:val="Textoindependiente"/>
        <w:numPr>
          <w:ilvl w:val="0"/>
          <w:numId w:val="8"/>
        </w:numPr>
        <w:spacing w:before="120" w:after="120" w:line="360" w:lineRule="auto"/>
        <w:ind w:left="1304" w:hanging="567"/>
        <w:jc w:val="both"/>
        <w:rPr>
          <w:rFonts w:cs="Arial"/>
          <w:sz w:val="24"/>
          <w:szCs w:val="24"/>
        </w:rPr>
      </w:pPr>
      <w:r w:rsidRPr="006276D9">
        <w:rPr>
          <w:rFonts w:cs="Arial"/>
          <w:sz w:val="24"/>
          <w:szCs w:val="24"/>
        </w:rPr>
        <w:t xml:space="preserve">En los casos de los numerales </w:t>
      </w:r>
      <w:r w:rsidR="004E7359">
        <w:rPr>
          <w:rFonts w:cs="Arial"/>
          <w:sz w:val="24"/>
          <w:szCs w:val="24"/>
        </w:rPr>
        <w:t>6</w:t>
      </w:r>
      <w:r w:rsidRPr="006276D9">
        <w:rPr>
          <w:rFonts w:cs="Arial"/>
          <w:sz w:val="24"/>
          <w:szCs w:val="24"/>
        </w:rPr>
        <w:t xml:space="preserve">.1.1., </w:t>
      </w:r>
      <w:r w:rsidR="004E7359">
        <w:rPr>
          <w:rFonts w:cs="Arial"/>
          <w:sz w:val="24"/>
          <w:szCs w:val="24"/>
        </w:rPr>
        <w:t>6</w:t>
      </w:r>
      <w:r w:rsidRPr="006276D9">
        <w:rPr>
          <w:rFonts w:cs="Arial"/>
          <w:sz w:val="24"/>
          <w:szCs w:val="24"/>
        </w:rPr>
        <w:t>.1.2</w:t>
      </w:r>
      <w:r w:rsidR="00EC46D5">
        <w:rPr>
          <w:rFonts w:cs="Arial"/>
          <w:sz w:val="24"/>
          <w:szCs w:val="24"/>
        </w:rPr>
        <w:t xml:space="preserve"> y</w:t>
      </w:r>
      <w:r w:rsidRPr="006276D9">
        <w:rPr>
          <w:rFonts w:cs="Arial"/>
          <w:sz w:val="24"/>
          <w:szCs w:val="24"/>
        </w:rPr>
        <w:t xml:space="preserve"> </w:t>
      </w:r>
      <w:r w:rsidR="004E7359">
        <w:rPr>
          <w:rFonts w:cs="Arial"/>
          <w:sz w:val="24"/>
          <w:szCs w:val="24"/>
        </w:rPr>
        <w:t>6</w:t>
      </w:r>
      <w:r w:rsidRPr="006276D9">
        <w:rPr>
          <w:rFonts w:cs="Arial"/>
          <w:sz w:val="24"/>
          <w:szCs w:val="24"/>
        </w:rPr>
        <w:t>.2.1.</w:t>
      </w:r>
    </w:p>
    <w:p w:rsidR="005C6384" w:rsidRPr="00643E5E" w:rsidRDefault="005C6384" w:rsidP="00166CBB">
      <w:pPr>
        <w:pStyle w:val="Textoindependiente"/>
        <w:numPr>
          <w:ilvl w:val="1"/>
          <w:numId w:val="14"/>
        </w:numPr>
        <w:spacing w:before="120" w:after="120" w:line="360" w:lineRule="auto"/>
        <w:ind w:left="1162" w:hanging="425"/>
        <w:jc w:val="both"/>
        <w:rPr>
          <w:rFonts w:cs="Arial"/>
          <w:sz w:val="24"/>
          <w:szCs w:val="24"/>
          <w:lang w:val="es-ES_tradnl"/>
        </w:rPr>
      </w:pPr>
      <w:r w:rsidRPr="00643E5E">
        <w:rPr>
          <w:rFonts w:cs="Arial"/>
          <w:sz w:val="24"/>
          <w:szCs w:val="24"/>
          <w:lang w:val="es-ES_tradnl"/>
        </w:rPr>
        <w:t>Resultado a</w:t>
      </w:r>
      <w:r w:rsidR="00FE1D2D" w:rsidRPr="00643E5E">
        <w:rPr>
          <w:rFonts w:cs="Arial"/>
          <w:sz w:val="24"/>
          <w:szCs w:val="24"/>
          <w:lang w:val="es-ES_tradnl"/>
        </w:rPr>
        <w:t>ceptable en índices de liquidez</w:t>
      </w:r>
      <w:r w:rsidR="006A170A" w:rsidRPr="00643E5E">
        <w:rPr>
          <w:rFonts w:cs="Arial"/>
          <w:sz w:val="24"/>
          <w:szCs w:val="24"/>
          <w:lang w:val="es-ES_tradnl"/>
        </w:rPr>
        <w:t xml:space="preserve">, </w:t>
      </w:r>
      <w:r w:rsidRPr="00643E5E">
        <w:rPr>
          <w:rFonts w:cs="Arial"/>
          <w:sz w:val="24"/>
          <w:szCs w:val="24"/>
          <w:lang w:val="es-ES_tradnl"/>
        </w:rPr>
        <w:t>solvencia</w:t>
      </w:r>
      <w:r w:rsidR="006A170A" w:rsidRPr="00643E5E">
        <w:rPr>
          <w:rFonts w:cs="Arial"/>
          <w:sz w:val="24"/>
          <w:szCs w:val="24"/>
          <w:lang w:val="es-ES_tradnl"/>
        </w:rPr>
        <w:t>, apalancamiento</w:t>
      </w:r>
      <w:r w:rsidRPr="00643E5E">
        <w:rPr>
          <w:rFonts w:cs="Arial"/>
          <w:sz w:val="24"/>
          <w:szCs w:val="24"/>
          <w:lang w:val="es-ES_tradnl"/>
        </w:rPr>
        <w:t>, además de capital de trabajo positivo, se considerará que el participante que se encuentre en este supuesto acredita a satisfacción su solvencia financiera y cumple con los requisitos para garantizar las obligaciones que pueda contraer con el Tribunal, por tanto podrá continua</w:t>
      </w:r>
      <w:r w:rsidR="00A73CAD" w:rsidRPr="00643E5E">
        <w:rPr>
          <w:rFonts w:cs="Arial"/>
          <w:sz w:val="24"/>
          <w:szCs w:val="24"/>
          <w:lang w:val="es-ES_tradnl"/>
        </w:rPr>
        <w:t>r en el proceso de contratación.</w:t>
      </w:r>
    </w:p>
    <w:p w:rsidR="006276D9" w:rsidRPr="00166CBB" w:rsidRDefault="006276D9" w:rsidP="00166CBB">
      <w:pPr>
        <w:pStyle w:val="Textoindependiente"/>
        <w:numPr>
          <w:ilvl w:val="1"/>
          <w:numId w:val="14"/>
        </w:numPr>
        <w:spacing w:before="120" w:after="120" w:line="360" w:lineRule="auto"/>
        <w:ind w:left="1162" w:hanging="425"/>
        <w:jc w:val="both"/>
        <w:rPr>
          <w:rFonts w:cs="Arial"/>
          <w:sz w:val="24"/>
          <w:szCs w:val="24"/>
          <w:lang w:val="es-ES_tradnl"/>
        </w:rPr>
      </w:pPr>
      <w:r w:rsidRPr="006276D9">
        <w:rPr>
          <w:rFonts w:cs="Arial"/>
          <w:sz w:val="24"/>
          <w:szCs w:val="24"/>
          <w:lang w:val="es-ES_tradnl"/>
        </w:rPr>
        <w:t xml:space="preserve">Resultado </w:t>
      </w:r>
      <w:r>
        <w:rPr>
          <w:rFonts w:cs="Arial"/>
          <w:sz w:val="24"/>
          <w:szCs w:val="24"/>
          <w:lang w:val="es-ES_tradnl"/>
        </w:rPr>
        <w:t xml:space="preserve">aceptable o </w:t>
      </w:r>
      <w:r w:rsidRPr="006276D9">
        <w:rPr>
          <w:rFonts w:cs="Arial"/>
          <w:sz w:val="24"/>
          <w:szCs w:val="24"/>
          <w:lang w:val="es-ES_tradnl"/>
        </w:rPr>
        <w:t>poco favorable en</w:t>
      </w:r>
      <w:r>
        <w:rPr>
          <w:rFonts w:cs="Arial"/>
          <w:sz w:val="24"/>
          <w:szCs w:val="24"/>
          <w:lang w:val="es-ES_tradnl"/>
        </w:rPr>
        <w:t xml:space="preserve"> el</w:t>
      </w:r>
      <w:r w:rsidRPr="006276D9">
        <w:rPr>
          <w:rFonts w:cs="Arial"/>
          <w:sz w:val="24"/>
          <w:szCs w:val="24"/>
          <w:lang w:val="es-ES_tradnl"/>
        </w:rPr>
        <w:t xml:space="preserve"> índice de liquidez, además de capital de trabajo positivo,</w:t>
      </w:r>
      <w:r>
        <w:rPr>
          <w:rFonts w:cs="Arial"/>
          <w:sz w:val="24"/>
          <w:szCs w:val="24"/>
          <w:lang w:val="es-ES_tradnl"/>
        </w:rPr>
        <w:t xml:space="preserve"> indistintamente de los índices de solvencia y apalancamiento,</w:t>
      </w:r>
      <w:r w:rsidRPr="006276D9">
        <w:rPr>
          <w:rFonts w:cs="Arial"/>
          <w:sz w:val="24"/>
          <w:szCs w:val="24"/>
          <w:lang w:val="es-ES_tradnl"/>
        </w:rPr>
        <w:t xml:space="preserve"> en el caso del participante que se encuentre en esta situación, se atenderá a la naturaleza y/o monto del contrato a adjudicar, con lo cual, podrá considerarse que dicho participante continúe en el proceso de contratación, en atención a lo dispuesto en la parte final de la fracción II del artículo 63 del Acuerdo General</w:t>
      </w:r>
      <w:r w:rsidR="009158E0">
        <w:rPr>
          <w:rFonts w:cs="Arial"/>
          <w:sz w:val="24"/>
          <w:szCs w:val="24"/>
          <w:lang w:val="es-ES_tradnl"/>
        </w:rPr>
        <w:t>.</w:t>
      </w:r>
    </w:p>
    <w:p w:rsidR="00F53F40" w:rsidRDefault="00F42EDB" w:rsidP="00166CBB">
      <w:pPr>
        <w:pStyle w:val="Textoindependiente"/>
        <w:numPr>
          <w:ilvl w:val="1"/>
          <w:numId w:val="14"/>
        </w:numPr>
        <w:spacing w:before="120" w:after="120" w:line="360" w:lineRule="auto"/>
        <w:ind w:left="1162" w:hanging="425"/>
        <w:jc w:val="both"/>
        <w:rPr>
          <w:rFonts w:cs="Arial"/>
          <w:sz w:val="24"/>
          <w:szCs w:val="24"/>
          <w:lang w:val="es-ES_tradnl"/>
        </w:rPr>
      </w:pPr>
      <w:r w:rsidRPr="00F42EDB">
        <w:rPr>
          <w:rFonts w:cs="Arial"/>
          <w:sz w:val="24"/>
          <w:szCs w:val="24"/>
          <w:lang w:val="es-ES_tradnl"/>
        </w:rPr>
        <w:t xml:space="preserve">Resultado aceptable o poco favorable en el índice de liquidez, </w:t>
      </w:r>
      <w:r>
        <w:rPr>
          <w:rFonts w:cs="Arial"/>
          <w:sz w:val="24"/>
          <w:szCs w:val="24"/>
          <w:lang w:val="es-ES_tradnl"/>
        </w:rPr>
        <w:t>con</w:t>
      </w:r>
      <w:r w:rsidRPr="00F42EDB">
        <w:rPr>
          <w:rFonts w:cs="Arial"/>
          <w:sz w:val="24"/>
          <w:szCs w:val="24"/>
          <w:lang w:val="es-ES_tradnl"/>
        </w:rPr>
        <w:t xml:space="preserve"> capital de trabajo </w:t>
      </w:r>
      <w:r>
        <w:rPr>
          <w:rFonts w:cs="Arial"/>
          <w:sz w:val="24"/>
          <w:szCs w:val="24"/>
          <w:lang w:val="es-ES_tradnl"/>
        </w:rPr>
        <w:t>nega</w:t>
      </w:r>
      <w:r w:rsidRPr="00F42EDB">
        <w:rPr>
          <w:rFonts w:cs="Arial"/>
          <w:sz w:val="24"/>
          <w:szCs w:val="24"/>
          <w:lang w:val="es-ES_tradnl"/>
        </w:rPr>
        <w:t xml:space="preserve">tivo, indistintamente de los índices de solvencia y apalancamiento, en el caso del participante que se encuentre en esta situación, se atenderá a la naturaleza y/o monto del contrato a adjudicar, con </w:t>
      </w:r>
    </w:p>
    <w:p w:rsidR="00A73CAD" w:rsidRPr="00166CBB" w:rsidRDefault="00F42EDB" w:rsidP="00F53F40">
      <w:pPr>
        <w:pStyle w:val="Textoindependiente"/>
        <w:spacing w:before="120" w:after="120" w:line="360" w:lineRule="auto"/>
        <w:ind w:left="1162"/>
        <w:jc w:val="both"/>
        <w:rPr>
          <w:rFonts w:cs="Arial"/>
          <w:sz w:val="24"/>
          <w:szCs w:val="24"/>
          <w:lang w:val="es-ES_tradnl"/>
        </w:rPr>
      </w:pPr>
      <w:proofErr w:type="gramStart"/>
      <w:r w:rsidRPr="00F42EDB">
        <w:rPr>
          <w:rFonts w:cs="Arial"/>
          <w:sz w:val="24"/>
          <w:szCs w:val="24"/>
          <w:lang w:val="es-ES_tradnl"/>
        </w:rPr>
        <w:lastRenderedPageBreak/>
        <w:t>lo</w:t>
      </w:r>
      <w:proofErr w:type="gramEnd"/>
      <w:r w:rsidRPr="00F42EDB">
        <w:rPr>
          <w:rFonts w:cs="Arial"/>
          <w:sz w:val="24"/>
          <w:szCs w:val="24"/>
          <w:lang w:val="es-ES_tradnl"/>
        </w:rPr>
        <w:t xml:space="preserve"> cual, podrá considerarse que dicho participante continúe en el proceso de contratación, en atención a lo dispuesto en la parte final de la fracción II del artículo 63 del Acuerdo General.</w:t>
      </w:r>
    </w:p>
    <w:p w:rsidR="009158E0" w:rsidRDefault="009158E0" w:rsidP="00166CBB">
      <w:pPr>
        <w:pStyle w:val="Textoindependiente"/>
        <w:numPr>
          <w:ilvl w:val="1"/>
          <w:numId w:val="14"/>
        </w:numPr>
        <w:spacing w:before="120" w:after="120" w:line="360" w:lineRule="auto"/>
        <w:ind w:left="1162" w:hanging="425"/>
        <w:jc w:val="both"/>
        <w:rPr>
          <w:rFonts w:cs="Arial"/>
          <w:sz w:val="24"/>
          <w:szCs w:val="24"/>
          <w:lang w:val="es-ES_tradnl"/>
        </w:rPr>
      </w:pPr>
      <w:r w:rsidRPr="009158E0">
        <w:rPr>
          <w:rFonts w:cs="Arial"/>
          <w:sz w:val="24"/>
          <w:szCs w:val="24"/>
          <w:lang w:val="es-ES_tradnl"/>
        </w:rPr>
        <w:t xml:space="preserve">En el caso de que no se manifiesten pasivos en la información financiera y no resulte factible la aplicación de las razones financieras de solvencia, apalancamiento y liquidez, debido a que los resultados arrojarían valores fuera de los parámetros establecidos en el numeral </w:t>
      </w:r>
      <w:r w:rsidR="00040F95">
        <w:rPr>
          <w:rFonts w:cs="Arial"/>
          <w:sz w:val="24"/>
          <w:szCs w:val="24"/>
          <w:lang w:val="es-ES_tradnl"/>
        </w:rPr>
        <w:t>6</w:t>
      </w:r>
      <w:r w:rsidRPr="009158E0">
        <w:rPr>
          <w:rFonts w:cs="Arial"/>
          <w:sz w:val="24"/>
          <w:szCs w:val="24"/>
          <w:lang w:val="es-ES_tradnl"/>
        </w:rPr>
        <w:t xml:space="preserve"> de los presentes lineamientos, y solo se presente un resultado positivo en capital de trabajo, se atenderá a la naturaleza y/o monto del contrato a adjudicar, con lo cual, podrá considerarse que el participante que se encuentre en esta situación continúe en el proceso de contratación, en atención a lo dispuesto en la parte final de la fracción II del artículo 63 del Acuerdo General</w:t>
      </w:r>
      <w:r>
        <w:rPr>
          <w:rFonts w:cs="Arial"/>
          <w:sz w:val="24"/>
          <w:szCs w:val="24"/>
          <w:lang w:val="es-ES_tradnl"/>
        </w:rPr>
        <w:t>.</w:t>
      </w:r>
    </w:p>
    <w:p w:rsidR="009158E0" w:rsidRDefault="009158E0" w:rsidP="00166CBB">
      <w:pPr>
        <w:pStyle w:val="Textoindependiente"/>
        <w:numPr>
          <w:ilvl w:val="1"/>
          <w:numId w:val="14"/>
        </w:numPr>
        <w:spacing w:before="120" w:after="120" w:line="360" w:lineRule="auto"/>
        <w:ind w:left="1162" w:hanging="425"/>
        <w:jc w:val="both"/>
        <w:rPr>
          <w:rFonts w:cs="Arial"/>
          <w:sz w:val="24"/>
          <w:szCs w:val="24"/>
          <w:lang w:val="es-ES_tradnl"/>
        </w:rPr>
      </w:pPr>
      <w:r w:rsidRPr="009158E0">
        <w:rPr>
          <w:rFonts w:cs="Arial"/>
          <w:sz w:val="24"/>
          <w:szCs w:val="24"/>
          <w:lang w:val="es-ES_tradnl"/>
        </w:rPr>
        <w:t xml:space="preserve">Tratándose de los numerales </w:t>
      </w:r>
      <w:r w:rsidR="00040F95">
        <w:rPr>
          <w:rFonts w:cs="Arial"/>
          <w:sz w:val="24"/>
          <w:szCs w:val="24"/>
          <w:lang w:val="es-ES_tradnl"/>
        </w:rPr>
        <w:t>6</w:t>
      </w:r>
      <w:r w:rsidRPr="009158E0">
        <w:rPr>
          <w:rFonts w:cs="Arial"/>
          <w:sz w:val="24"/>
          <w:szCs w:val="24"/>
          <w:lang w:val="es-ES_tradnl"/>
        </w:rPr>
        <w:t xml:space="preserve">.1.1 y </w:t>
      </w:r>
      <w:r w:rsidR="00040F95">
        <w:rPr>
          <w:rFonts w:cs="Arial"/>
          <w:sz w:val="24"/>
          <w:szCs w:val="24"/>
          <w:lang w:val="es-ES_tradnl"/>
        </w:rPr>
        <w:t>6</w:t>
      </w:r>
      <w:r w:rsidRPr="009158E0">
        <w:rPr>
          <w:rFonts w:cs="Arial"/>
          <w:sz w:val="24"/>
          <w:szCs w:val="24"/>
          <w:lang w:val="es-ES_tradnl"/>
        </w:rPr>
        <w:t xml:space="preserve">.1.2, referentes a la ejecución de obra pública, el participante que se encuentre en este supuesto, además de cumplir con los resultados señalados en el inciso a) del numeral </w:t>
      </w:r>
      <w:r w:rsidR="00040F95">
        <w:rPr>
          <w:rFonts w:cs="Arial"/>
          <w:sz w:val="24"/>
          <w:szCs w:val="24"/>
          <w:lang w:val="es-ES_tradnl"/>
        </w:rPr>
        <w:t>7</w:t>
      </w:r>
      <w:r w:rsidRPr="009158E0">
        <w:rPr>
          <w:rFonts w:cs="Arial"/>
          <w:sz w:val="24"/>
          <w:szCs w:val="24"/>
          <w:lang w:val="es-ES_tradnl"/>
        </w:rPr>
        <w:t xml:space="preserve">.1, o bien, haber obtenido resolución favorable respecto a alguno de los resultados señalados en los incisos b), y c), según sea el caso, para acreditar a satisfacción su solvencia financiera deberá cubrir invariablemente el requisito de Capital de Trabajo establecido en el numeral </w:t>
      </w:r>
      <w:r w:rsidR="00040F95">
        <w:rPr>
          <w:rFonts w:cs="Arial"/>
          <w:sz w:val="24"/>
          <w:szCs w:val="24"/>
          <w:lang w:val="es-ES_tradnl"/>
        </w:rPr>
        <w:t>6</w:t>
      </w:r>
      <w:r w:rsidRPr="009158E0">
        <w:rPr>
          <w:rFonts w:cs="Arial"/>
          <w:sz w:val="24"/>
          <w:szCs w:val="24"/>
          <w:lang w:val="es-ES_tradnl"/>
        </w:rPr>
        <w:t>.1.5 de los presentes lineamientos, en caso contrario, la Coordinación Financiera podrá emitir opinión negativa.</w:t>
      </w:r>
    </w:p>
    <w:p w:rsidR="0044734C" w:rsidRDefault="0044734C" w:rsidP="00166CBB">
      <w:pPr>
        <w:pStyle w:val="Textoindependiente"/>
        <w:numPr>
          <w:ilvl w:val="1"/>
          <w:numId w:val="14"/>
        </w:numPr>
        <w:spacing w:before="120" w:after="120" w:line="360" w:lineRule="auto"/>
        <w:ind w:left="1162" w:hanging="425"/>
        <w:jc w:val="both"/>
        <w:rPr>
          <w:rFonts w:cs="Arial"/>
          <w:sz w:val="24"/>
          <w:szCs w:val="24"/>
          <w:lang w:val="es-ES_tradnl"/>
        </w:rPr>
      </w:pPr>
      <w:r w:rsidRPr="0044734C">
        <w:rPr>
          <w:rFonts w:cs="Arial"/>
          <w:sz w:val="24"/>
          <w:szCs w:val="24"/>
          <w:lang w:val="es-ES_tradnl"/>
        </w:rPr>
        <w:t>Resultado desfavorable en</w:t>
      </w:r>
      <w:r>
        <w:rPr>
          <w:rFonts w:cs="Arial"/>
          <w:sz w:val="24"/>
          <w:szCs w:val="24"/>
          <w:lang w:val="es-ES_tradnl"/>
        </w:rPr>
        <w:t xml:space="preserve"> el</w:t>
      </w:r>
      <w:r w:rsidRPr="0044734C">
        <w:rPr>
          <w:rFonts w:cs="Arial"/>
          <w:sz w:val="24"/>
          <w:szCs w:val="24"/>
          <w:lang w:val="es-ES_tradnl"/>
        </w:rPr>
        <w:t xml:space="preserve"> índice de liquidez </w:t>
      </w:r>
      <w:r>
        <w:rPr>
          <w:rFonts w:cs="Arial"/>
          <w:sz w:val="24"/>
          <w:szCs w:val="24"/>
          <w:lang w:val="es-ES_tradnl"/>
        </w:rPr>
        <w:t>y</w:t>
      </w:r>
      <w:r w:rsidRPr="0044734C">
        <w:rPr>
          <w:rFonts w:cs="Arial"/>
          <w:sz w:val="24"/>
          <w:szCs w:val="24"/>
          <w:lang w:val="es-ES_tradnl"/>
        </w:rPr>
        <w:t xml:space="preserve"> capital de trabajo </w:t>
      </w:r>
      <w:r>
        <w:rPr>
          <w:rFonts w:cs="Arial"/>
          <w:sz w:val="24"/>
          <w:szCs w:val="24"/>
          <w:lang w:val="es-ES_tradnl"/>
        </w:rPr>
        <w:t>negativo</w:t>
      </w:r>
      <w:r w:rsidRPr="0044734C">
        <w:rPr>
          <w:rFonts w:cs="Arial"/>
          <w:sz w:val="24"/>
          <w:szCs w:val="24"/>
          <w:lang w:val="es-ES_tradnl"/>
        </w:rPr>
        <w:t>,</w:t>
      </w:r>
      <w:r>
        <w:rPr>
          <w:rFonts w:cs="Arial"/>
          <w:sz w:val="24"/>
          <w:szCs w:val="24"/>
          <w:lang w:val="es-ES_tradnl"/>
        </w:rPr>
        <w:t xml:space="preserve"> ind</w:t>
      </w:r>
      <w:r w:rsidR="00F42EDB">
        <w:rPr>
          <w:rFonts w:cs="Arial"/>
          <w:sz w:val="24"/>
          <w:szCs w:val="24"/>
          <w:lang w:val="es-ES_tradnl"/>
        </w:rPr>
        <w:t>istint</w:t>
      </w:r>
      <w:r w:rsidR="00DE04F2">
        <w:rPr>
          <w:rFonts w:cs="Arial"/>
          <w:sz w:val="24"/>
          <w:szCs w:val="24"/>
          <w:lang w:val="es-ES_tradnl"/>
        </w:rPr>
        <w:t>o</w:t>
      </w:r>
      <w:r>
        <w:rPr>
          <w:rFonts w:cs="Arial"/>
          <w:sz w:val="24"/>
          <w:szCs w:val="24"/>
          <w:lang w:val="es-ES_tradnl"/>
        </w:rPr>
        <w:t xml:space="preserve"> de los resultados de los índices de solvencia y apalancamiento,</w:t>
      </w:r>
      <w:r w:rsidRPr="0044734C">
        <w:rPr>
          <w:rFonts w:cs="Arial"/>
          <w:sz w:val="24"/>
          <w:szCs w:val="24"/>
          <w:lang w:val="es-ES_tradnl"/>
        </w:rPr>
        <w:t xml:space="preserve"> se considerará que el participante que se encuentre en este supuesto, no acredita a satisfacción su solvencia y estabilidad financiera, por tanto se podrá considerar que no cumple con los requisitos para garantizar obligaciones que pueda contraer con el Tribunal y la Coordinación Financiera podrá emitir opinión negativa.</w:t>
      </w:r>
    </w:p>
    <w:p w:rsidR="00B70507" w:rsidRDefault="00B70507" w:rsidP="00166CBB">
      <w:pPr>
        <w:pStyle w:val="Textoindependiente"/>
        <w:numPr>
          <w:ilvl w:val="1"/>
          <w:numId w:val="14"/>
        </w:numPr>
        <w:spacing w:before="120" w:after="120" w:line="360" w:lineRule="auto"/>
        <w:ind w:left="1162" w:hanging="425"/>
        <w:jc w:val="both"/>
        <w:rPr>
          <w:rFonts w:cs="Arial"/>
          <w:noProof/>
          <w:sz w:val="24"/>
          <w:szCs w:val="24"/>
          <w:lang w:val="es-ES_tradnl" w:eastAsia="es-MX"/>
        </w:rPr>
      </w:pPr>
      <w:r w:rsidRPr="00B70507">
        <w:rPr>
          <w:rFonts w:cs="Arial"/>
          <w:sz w:val="24"/>
          <w:szCs w:val="24"/>
          <w:lang w:val="es-ES_tradnl"/>
        </w:rPr>
        <w:lastRenderedPageBreak/>
        <w:t>Resultado desfavorable</w:t>
      </w:r>
      <w:r w:rsidR="00DE04F2">
        <w:rPr>
          <w:rFonts w:cs="Arial"/>
          <w:sz w:val="24"/>
          <w:szCs w:val="24"/>
          <w:lang w:val="es-ES_tradnl"/>
        </w:rPr>
        <w:t xml:space="preserve"> en el</w:t>
      </w:r>
      <w:r w:rsidR="009F722B" w:rsidRPr="009F722B">
        <w:rPr>
          <w:rFonts w:cs="Arial"/>
          <w:sz w:val="24"/>
          <w:szCs w:val="24"/>
          <w:lang w:val="es-ES_tradnl"/>
        </w:rPr>
        <w:t xml:space="preserve"> índice de liquidez</w:t>
      </w:r>
      <w:r w:rsidRPr="00B70507">
        <w:rPr>
          <w:rFonts w:cs="Arial"/>
          <w:sz w:val="24"/>
          <w:szCs w:val="24"/>
          <w:lang w:val="es-ES_tradnl"/>
        </w:rPr>
        <w:t xml:space="preserve"> </w:t>
      </w:r>
      <w:r w:rsidR="00F42EDB">
        <w:rPr>
          <w:rFonts w:cs="Arial"/>
          <w:sz w:val="24"/>
          <w:szCs w:val="24"/>
          <w:lang w:val="es-ES_tradnl"/>
        </w:rPr>
        <w:t>y</w:t>
      </w:r>
      <w:r w:rsidR="009F722B">
        <w:rPr>
          <w:rFonts w:cs="Arial"/>
          <w:sz w:val="24"/>
          <w:szCs w:val="24"/>
          <w:lang w:val="es-ES_tradnl"/>
        </w:rPr>
        <w:t xml:space="preserve"> capital de trabajo</w:t>
      </w:r>
      <w:r w:rsidR="00F42EDB">
        <w:rPr>
          <w:rFonts w:cs="Arial"/>
          <w:sz w:val="24"/>
          <w:szCs w:val="24"/>
          <w:lang w:val="es-ES_tradnl"/>
        </w:rPr>
        <w:t xml:space="preserve"> positivo</w:t>
      </w:r>
      <w:r w:rsidRPr="00B70507">
        <w:rPr>
          <w:rFonts w:cs="Arial"/>
          <w:sz w:val="24"/>
          <w:szCs w:val="24"/>
          <w:lang w:val="es-ES_tradnl"/>
        </w:rPr>
        <w:t xml:space="preserve">, </w:t>
      </w:r>
      <w:r w:rsidR="00F42EDB" w:rsidRPr="00F42EDB">
        <w:rPr>
          <w:rFonts w:cs="Arial"/>
          <w:sz w:val="24"/>
          <w:szCs w:val="24"/>
          <w:lang w:val="es-ES_tradnl"/>
        </w:rPr>
        <w:t>indistint</w:t>
      </w:r>
      <w:r w:rsidR="00DE04F2">
        <w:rPr>
          <w:rFonts w:cs="Arial"/>
          <w:sz w:val="24"/>
          <w:szCs w:val="24"/>
          <w:lang w:val="es-ES_tradnl"/>
        </w:rPr>
        <w:t>o</w:t>
      </w:r>
      <w:r w:rsidRPr="00B70507">
        <w:rPr>
          <w:rFonts w:cs="Arial"/>
          <w:sz w:val="24"/>
          <w:szCs w:val="24"/>
          <w:lang w:val="es-ES_tradnl"/>
        </w:rPr>
        <w:t xml:space="preserve"> de los resultados de los</w:t>
      </w:r>
      <w:r w:rsidR="00F42EDB">
        <w:rPr>
          <w:rFonts w:cs="Arial"/>
          <w:sz w:val="24"/>
          <w:szCs w:val="24"/>
          <w:lang w:val="es-ES_tradnl"/>
        </w:rPr>
        <w:t xml:space="preserve"> índices de</w:t>
      </w:r>
      <w:r w:rsidRPr="00B70507">
        <w:rPr>
          <w:rFonts w:cs="Arial"/>
          <w:sz w:val="24"/>
          <w:szCs w:val="24"/>
          <w:lang w:val="es-ES_tradnl"/>
        </w:rPr>
        <w:t xml:space="preserve"> solvencia y apalancamiento, se considerará que el participante que se encuentre en este supuesto, no acredita a satisfacción su solvencia y estabilidad financiera, por tanto se podrá considerar que no cumple con los requisitos para garantizar obligaciones que pueda contraer con el Tribunal y la Coordinación Financiera </w:t>
      </w:r>
      <w:r w:rsidRPr="00B70507">
        <w:rPr>
          <w:rFonts w:cs="Arial"/>
          <w:noProof/>
          <w:sz w:val="24"/>
          <w:szCs w:val="24"/>
          <w:lang w:val="es-ES_tradnl" w:eastAsia="es-MX"/>
        </w:rPr>
        <w:t>podrá emitir opinión negativa</w:t>
      </w:r>
      <w:r w:rsidR="00A73CAD">
        <w:rPr>
          <w:rFonts w:cs="Arial"/>
          <w:noProof/>
          <w:sz w:val="24"/>
          <w:szCs w:val="24"/>
          <w:lang w:val="es-ES_tradnl" w:eastAsia="es-MX"/>
        </w:rPr>
        <w:t>.</w:t>
      </w:r>
    </w:p>
    <w:p w:rsidR="007921DA" w:rsidRDefault="007921DA" w:rsidP="007921DA">
      <w:pPr>
        <w:pStyle w:val="Textoindependiente"/>
        <w:spacing w:before="120" w:after="120" w:line="360" w:lineRule="auto"/>
        <w:ind w:left="1162"/>
        <w:jc w:val="both"/>
        <w:rPr>
          <w:rFonts w:cs="Arial"/>
          <w:noProof/>
          <w:sz w:val="24"/>
          <w:szCs w:val="24"/>
          <w:lang w:val="es-ES_tradnl" w:eastAsia="es-MX"/>
        </w:rPr>
      </w:pPr>
    </w:p>
    <w:p w:rsidR="00A73CAD" w:rsidRDefault="006276D9" w:rsidP="00040F95">
      <w:pPr>
        <w:pStyle w:val="Textoindependiente"/>
        <w:numPr>
          <w:ilvl w:val="0"/>
          <w:numId w:val="8"/>
        </w:numPr>
        <w:spacing w:before="120" w:after="120" w:line="360" w:lineRule="auto"/>
        <w:ind w:left="1304" w:hanging="567"/>
        <w:jc w:val="both"/>
        <w:rPr>
          <w:rFonts w:cs="Arial"/>
          <w:sz w:val="24"/>
          <w:szCs w:val="24"/>
        </w:rPr>
      </w:pPr>
      <w:r w:rsidRPr="006276D9">
        <w:rPr>
          <w:rFonts w:cs="Arial"/>
          <w:sz w:val="24"/>
          <w:szCs w:val="24"/>
        </w:rPr>
        <w:t xml:space="preserve">Para los casos de los numerales </w:t>
      </w:r>
      <w:r w:rsidR="00643E5E">
        <w:rPr>
          <w:rFonts w:cs="Arial"/>
          <w:sz w:val="24"/>
          <w:szCs w:val="24"/>
        </w:rPr>
        <w:t>6</w:t>
      </w:r>
      <w:r w:rsidRPr="006276D9">
        <w:rPr>
          <w:rFonts w:cs="Arial"/>
          <w:sz w:val="24"/>
          <w:szCs w:val="24"/>
        </w:rPr>
        <w:t xml:space="preserve">.1.3., </w:t>
      </w:r>
      <w:r w:rsidR="00643E5E">
        <w:rPr>
          <w:rFonts w:cs="Arial"/>
          <w:sz w:val="24"/>
          <w:szCs w:val="24"/>
        </w:rPr>
        <w:t>6</w:t>
      </w:r>
      <w:r w:rsidRPr="006276D9">
        <w:rPr>
          <w:rFonts w:cs="Arial"/>
          <w:sz w:val="24"/>
          <w:szCs w:val="24"/>
        </w:rPr>
        <w:t>.1.4,</w:t>
      </w:r>
      <w:r w:rsidR="00EC46D5">
        <w:rPr>
          <w:rFonts w:cs="Arial"/>
          <w:sz w:val="24"/>
          <w:szCs w:val="24"/>
        </w:rPr>
        <w:t xml:space="preserve"> </w:t>
      </w:r>
      <w:r w:rsidR="00643E5E">
        <w:rPr>
          <w:rFonts w:cs="Arial"/>
          <w:sz w:val="24"/>
          <w:szCs w:val="24"/>
        </w:rPr>
        <w:t>6</w:t>
      </w:r>
      <w:r w:rsidR="00EC46D5">
        <w:rPr>
          <w:rFonts w:cs="Arial"/>
          <w:sz w:val="24"/>
          <w:szCs w:val="24"/>
        </w:rPr>
        <w:t>.2.2.,</w:t>
      </w:r>
      <w:r w:rsidRPr="006276D9">
        <w:rPr>
          <w:rFonts w:cs="Arial"/>
          <w:sz w:val="24"/>
          <w:szCs w:val="24"/>
        </w:rPr>
        <w:t xml:space="preserve"> </w:t>
      </w:r>
      <w:r w:rsidR="00643E5E">
        <w:rPr>
          <w:rFonts w:cs="Arial"/>
          <w:sz w:val="24"/>
          <w:szCs w:val="24"/>
        </w:rPr>
        <w:t>6</w:t>
      </w:r>
      <w:r w:rsidRPr="006276D9">
        <w:rPr>
          <w:rFonts w:cs="Arial"/>
          <w:sz w:val="24"/>
          <w:szCs w:val="24"/>
        </w:rPr>
        <w:t>.3.1.</w:t>
      </w:r>
      <w:r w:rsidR="009158E0">
        <w:rPr>
          <w:rFonts w:cs="Arial"/>
          <w:sz w:val="24"/>
          <w:szCs w:val="24"/>
        </w:rPr>
        <w:t>,</w:t>
      </w:r>
      <w:r w:rsidR="00A73CAD">
        <w:rPr>
          <w:rFonts w:cs="Arial"/>
          <w:sz w:val="24"/>
          <w:szCs w:val="24"/>
        </w:rPr>
        <w:t xml:space="preserve"> y </w:t>
      </w:r>
      <w:r w:rsidR="00643E5E">
        <w:rPr>
          <w:rFonts w:cs="Arial"/>
          <w:sz w:val="24"/>
          <w:szCs w:val="24"/>
        </w:rPr>
        <w:t>6</w:t>
      </w:r>
      <w:r w:rsidR="00A73CAD">
        <w:rPr>
          <w:rFonts w:cs="Arial"/>
          <w:sz w:val="24"/>
          <w:szCs w:val="24"/>
        </w:rPr>
        <w:t>.3.2.</w:t>
      </w:r>
    </w:p>
    <w:p w:rsidR="006A170A" w:rsidRPr="00040F95" w:rsidRDefault="006A170A" w:rsidP="00040F95">
      <w:pPr>
        <w:pStyle w:val="Textoindependiente"/>
        <w:numPr>
          <w:ilvl w:val="0"/>
          <w:numId w:val="19"/>
        </w:numPr>
        <w:spacing w:before="120" w:after="120" w:line="360" w:lineRule="auto"/>
        <w:ind w:left="1134" w:hanging="397"/>
        <w:jc w:val="both"/>
        <w:rPr>
          <w:rFonts w:cs="Arial"/>
          <w:sz w:val="24"/>
          <w:szCs w:val="24"/>
          <w:lang w:val="es-ES_tradnl"/>
        </w:rPr>
      </w:pPr>
      <w:r w:rsidRPr="00040F95">
        <w:rPr>
          <w:rFonts w:cs="Arial"/>
          <w:sz w:val="24"/>
          <w:szCs w:val="24"/>
          <w:lang w:val="es-ES_tradnl"/>
        </w:rPr>
        <w:t>Resultado aceptable en índices de liquidez y solvencia se considerará que el participante que se encuentre en este supuesto acredita a satisfacción su solvencia financiera y cumple con los requisitos para garantizar las obligaciones que pueda contraer con el Tribunal, por tanto podrá continuar en el proceso de contratación</w:t>
      </w:r>
      <w:r w:rsidR="00A73CAD" w:rsidRPr="00040F95">
        <w:rPr>
          <w:rFonts w:cs="Arial"/>
          <w:sz w:val="24"/>
          <w:szCs w:val="24"/>
          <w:lang w:val="es-ES_tradnl"/>
        </w:rPr>
        <w:t>.</w:t>
      </w:r>
    </w:p>
    <w:p w:rsidR="006276D9" w:rsidRPr="00040F95" w:rsidRDefault="006276D9" w:rsidP="00040F95">
      <w:pPr>
        <w:pStyle w:val="Textoindependiente"/>
        <w:numPr>
          <w:ilvl w:val="0"/>
          <w:numId w:val="19"/>
        </w:numPr>
        <w:spacing w:before="120" w:after="120" w:line="360" w:lineRule="auto"/>
        <w:ind w:left="1134" w:hanging="397"/>
        <w:jc w:val="both"/>
        <w:rPr>
          <w:rFonts w:cs="Arial"/>
          <w:sz w:val="24"/>
          <w:szCs w:val="24"/>
          <w:lang w:val="es-ES_tradnl"/>
        </w:rPr>
      </w:pPr>
      <w:r w:rsidRPr="006276D9">
        <w:rPr>
          <w:rFonts w:cs="Arial"/>
          <w:sz w:val="24"/>
          <w:szCs w:val="24"/>
          <w:lang w:val="es-ES_tradnl"/>
        </w:rPr>
        <w:t>Resultado aceptable o poco favorable en el índice de</w:t>
      </w:r>
      <w:r w:rsidR="00080A76" w:rsidRPr="00080A76">
        <w:rPr>
          <w:rFonts w:cs="Arial"/>
          <w:sz w:val="24"/>
          <w:szCs w:val="24"/>
          <w:lang w:val="es-ES_tradnl"/>
        </w:rPr>
        <w:t xml:space="preserve"> solvencia</w:t>
      </w:r>
      <w:r w:rsidRPr="006276D9">
        <w:rPr>
          <w:rFonts w:cs="Arial"/>
          <w:sz w:val="24"/>
          <w:szCs w:val="24"/>
          <w:lang w:val="es-ES_tradnl"/>
        </w:rPr>
        <w:t>, indistintamente del índice de</w:t>
      </w:r>
      <w:r w:rsidR="00080A76" w:rsidRPr="00080A76">
        <w:rPr>
          <w:rFonts w:cs="Arial"/>
          <w:sz w:val="24"/>
          <w:szCs w:val="24"/>
          <w:lang w:val="es-ES_tradnl"/>
        </w:rPr>
        <w:t xml:space="preserve"> liquidez</w:t>
      </w:r>
      <w:r w:rsidRPr="006276D9">
        <w:rPr>
          <w:rFonts w:cs="Arial"/>
          <w:sz w:val="24"/>
          <w:szCs w:val="24"/>
          <w:lang w:val="es-ES_tradnl"/>
        </w:rPr>
        <w:t>, en el caso del participante que se encuentre en esta situación, se atenderá a la naturaleza y/o monto del contrato a adjudicar, con lo cual, podrá considerarse que dicho participante continúe en el proceso de contratación, en atención a lo dispuesto en la parte final de la fracción II del artículo 63 del Acuerdo General</w:t>
      </w:r>
      <w:r w:rsidR="00A73CAD">
        <w:rPr>
          <w:rFonts w:cs="Arial"/>
          <w:sz w:val="24"/>
          <w:szCs w:val="24"/>
          <w:lang w:val="es-ES_tradnl"/>
        </w:rPr>
        <w:t>.</w:t>
      </w:r>
    </w:p>
    <w:p w:rsidR="005C6384" w:rsidRPr="00040F95" w:rsidRDefault="005C6384" w:rsidP="00040F95">
      <w:pPr>
        <w:pStyle w:val="Textoindependiente"/>
        <w:numPr>
          <w:ilvl w:val="0"/>
          <w:numId w:val="19"/>
        </w:numPr>
        <w:spacing w:before="120" w:after="120" w:line="360" w:lineRule="auto"/>
        <w:ind w:left="1134" w:hanging="397"/>
        <w:jc w:val="both"/>
        <w:rPr>
          <w:rFonts w:cs="Arial"/>
          <w:sz w:val="24"/>
          <w:szCs w:val="24"/>
          <w:lang w:val="es-ES_tradnl"/>
        </w:rPr>
      </w:pPr>
      <w:r w:rsidRPr="00040F95">
        <w:rPr>
          <w:rFonts w:cs="Arial"/>
          <w:sz w:val="24"/>
          <w:szCs w:val="24"/>
          <w:lang w:val="es-ES_tradnl"/>
        </w:rPr>
        <w:t xml:space="preserve">En el caso de que no se manifiesten pasivos en la información financiera y no resulte factible la aplicación de las razones financieras de solvencia y liquidez, debido a que los resultados arrojarían valores fuera de los parámetros establecidos en el numeral </w:t>
      </w:r>
      <w:r w:rsidR="0032632D" w:rsidRPr="00040F95">
        <w:rPr>
          <w:rFonts w:cs="Arial"/>
          <w:sz w:val="24"/>
          <w:szCs w:val="24"/>
          <w:lang w:val="es-ES_tradnl"/>
        </w:rPr>
        <w:t>6</w:t>
      </w:r>
      <w:r w:rsidR="00B920BD" w:rsidRPr="00040F95">
        <w:rPr>
          <w:rFonts w:cs="Arial"/>
          <w:sz w:val="24"/>
          <w:szCs w:val="24"/>
          <w:lang w:val="es-ES_tradnl"/>
        </w:rPr>
        <w:t xml:space="preserve"> </w:t>
      </w:r>
      <w:r w:rsidRPr="00040F95">
        <w:rPr>
          <w:rFonts w:cs="Arial"/>
          <w:sz w:val="24"/>
          <w:szCs w:val="24"/>
          <w:lang w:val="es-ES_tradnl"/>
        </w:rPr>
        <w:t>de los presentes lineamientos, se atenderá a la naturaleza y/o monto del contrato a adjudicar, con lo cual, podrá considerarse que el participante que se encuentre en esta situación continúe en el proceso de contratación, en atención a lo dispuesto en la parte final de la fracción II del artículo 63 del Acuerdo General</w:t>
      </w:r>
      <w:r w:rsidR="00A73CAD" w:rsidRPr="00040F95">
        <w:rPr>
          <w:rFonts w:cs="Arial"/>
          <w:sz w:val="24"/>
          <w:szCs w:val="24"/>
          <w:lang w:val="es-ES_tradnl"/>
        </w:rPr>
        <w:t>.</w:t>
      </w:r>
    </w:p>
    <w:p w:rsidR="000F35CA" w:rsidRPr="00040F95" w:rsidRDefault="0044734C" w:rsidP="00040F95">
      <w:pPr>
        <w:pStyle w:val="Textoindependiente"/>
        <w:numPr>
          <w:ilvl w:val="0"/>
          <w:numId w:val="19"/>
        </w:numPr>
        <w:spacing w:before="120" w:after="120" w:line="360" w:lineRule="auto"/>
        <w:ind w:left="1134" w:hanging="397"/>
        <w:jc w:val="both"/>
        <w:rPr>
          <w:rFonts w:cs="Arial"/>
          <w:sz w:val="24"/>
          <w:szCs w:val="24"/>
          <w:lang w:val="es-ES_tradnl"/>
        </w:rPr>
      </w:pPr>
      <w:r w:rsidRPr="0044734C">
        <w:rPr>
          <w:rFonts w:cs="Arial"/>
          <w:sz w:val="24"/>
          <w:szCs w:val="24"/>
          <w:lang w:val="es-ES_tradnl"/>
        </w:rPr>
        <w:lastRenderedPageBreak/>
        <w:t xml:space="preserve">Resultado </w:t>
      </w:r>
      <w:r w:rsidR="00080A76">
        <w:rPr>
          <w:rFonts w:cs="Arial"/>
          <w:sz w:val="24"/>
          <w:szCs w:val="24"/>
          <w:lang w:val="es-ES_tradnl"/>
        </w:rPr>
        <w:t>des</w:t>
      </w:r>
      <w:r w:rsidRPr="0044734C">
        <w:rPr>
          <w:rFonts w:cs="Arial"/>
          <w:sz w:val="24"/>
          <w:szCs w:val="24"/>
          <w:lang w:val="es-ES_tradnl"/>
        </w:rPr>
        <w:t>favorable en el índice de</w:t>
      </w:r>
      <w:r w:rsidR="00E836B4" w:rsidRPr="00E836B4">
        <w:rPr>
          <w:rFonts w:cs="Arial"/>
          <w:sz w:val="24"/>
          <w:szCs w:val="24"/>
          <w:lang w:val="es-ES_tradnl"/>
        </w:rPr>
        <w:t xml:space="preserve"> solvencia</w:t>
      </w:r>
      <w:r w:rsidRPr="0044734C">
        <w:rPr>
          <w:rFonts w:cs="Arial"/>
          <w:sz w:val="24"/>
          <w:szCs w:val="24"/>
          <w:lang w:val="es-ES_tradnl"/>
        </w:rPr>
        <w:t>, ind</w:t>
      </w:r>
      <w:r w:rsidR="00E836B4">
        <w:rPr>
          <w:rFonts w:cs="Arial"/>
          <w:sz w:val="24"/>
          <w:szCs w:val="24"/>
          <w:lang w:val="es-ES_tradnl"/>
        </w:rPr>
        <w:t xml:space="preserve">istintamente </w:t>
      </w:r>
      <w:r w:rsidRPr="0044734C">
        <w:rPr>
          <w:rFonts w:cs="Arial"/>
          <w:sz w:val="24"/>
          <w:szCs w:val="24"/>
          <w:lang w:val="es-ES_tradnl"/>
        </w:rPr>
        <w:t>del resultado del</w:t>
      </w:r>
      <w:r w:rsidR="00E836B4">
        <w:rPr>
          <w:rFonts w:cs="Arial"/>
          <w:sz w:val="24"/>
          <w:szCs w:val="24"/>
          <w:lang w:val="es-ES_tradnl"/>
        </w:rPr>
        <w:t xml:space="preserve"> índice</w:t>
      </w:r>
      <w:r w:rsidRPr="0044734C">
        <w:rPr>
          <w:rFonts w:cs="Arial"/>
          <w:sz w:val="24"/>
          <w:szCs w:val="24"/>
          <w:lang w:val="es-ES_tradnl"/>
        </w:rPr>
        <w:t xml:space="preserve"> de </w:t>
      </w:r>
      <w:r w:rsidR="00080A76" w:rsidRPr="00080A76">
        <w:rPr>
          <w:rFonts w:cs="Arial"/>
          <w:sz w:val="24"/>
          <w:szCs w:val="24"/>
          <w:lang w:val="es-ES_tradnl"/>
        </w:rPr>
        <w:t>liquidez</w:t>
      </w:r>
      <w:r w:rsidRPr="0044734C">
        <w:rPr>
          <w:rFonts w:cs="Arial"/>
          <w:sz w:val="24"/>
          <w:szCs w:val="24"/>
          <w:lang w:val="es-ES_tradnl"/>
        </w:rPr>
        <w:t>, se considerará que el participante que se encuentre en este supuesto, no acredita a satisfacción su solvencia y estabilidad financiera, por tanto se podrá considerar que no cumple con los requisitos para garantizar obligaciones que pueda contraer con el Tribunal y la Coordinación Financiera podrá emitir opinión negativa</w:t>
      </w:r>
      <w:r w:rsidR="005C6384" w:rsidRPr="00040F95">
        <w:rPr>
          <w:rFonts w:cs="Arial"/>
          <w:sz w:val="24"/>
          <w:szCs w:val="24"/>
          <w:lang w:val="es-ES_tradnl"/>
        </w:rPr>
        <w:t>.</w:t>
      </w:r>
    </w:p>
    <w:p w:rsidR="00881501" w:rsidRDefault="00881501" w:rsidP="00040F95">
      <w:pPr>
        <w:pStyle w:val="Textoindependiente"/>
        <w:numPr>
          <w:ilvl w:val="0"/>
          <w:numId w:val="8"/>
        </w:numPr>
        <w:spacing w:before="120" w:after="120" w:line="360" w:lineRule="auto"/>
        <w:ind w:left="1304" w:hanging="567"/>
        <w:jc w:val="both"/>
        <w:rPr>
          <w:rFonts w:cs="Arial"/>
          <w:sz w:val="24"/>
          <w:szCs w:val="24"/>
        </w:rPr>
      </w:pPr>
      <w:r w:rsidRPr="006276D9">
        <w:rPr>
          <w:rFonts w:cs="Arial"/>
          <w:sz w:val="24"/>
          <w:szCs w:val="24"/>
        </w:rPr>
        <w:t xml:space="preserve">En </w:t>
      </w:r>
      <w:r>
        <w:rPr>
          <w:rFonts w:cs="Arial"/>
          <w:sz w:val="24"/>
          <w:szCs w:val="24"/>
        </w:rPr>
        <w:t xml:space="preserve">el caso </w:t>
      </w:r>
      <w:r w:rsidRPr="006276D9">
        <w:rPr>
          <w:rFonts w:cs="Arial"/>
          <w:sz w:val="24"/>
          <w:szCs w:val="24"/>
        </w:rPr>
        <w:t xml:space="preserve">del numeral </w:t>
      </w:r>
      <w:r w:rsidR="00643E5E">
        <w:rPr>
          <w:rFonts w:cs="Arial"/>
          <w:sz w:val="24"/>
          <w:szCs w:val="24"/>
        </w:rPr>
        <w:t>6</w:t>
      </w:r>
      <w:r w:rsidRPr="006276D9">
        <w:rPr>
          <w:rFonts w:cs="Arial"/>
          <w:sz w:val="24"/>
          <w:szCs w:val="24"/>
        </w:rPr>
        <w:t>.</w:t>
      </w:r>
      <w:r>
        <w:rPr>
          <w:rFonts w:cs="Arial"/>
          <w:sz w:val="24"/>
          <w:szCs w:val="24"/>
        </w:rPr>
        <w:t>4</w:t>
      </w:r>
      <w:r w:rsidR="00A73CAD">
        <w:rPr>
          <w:rFonts w:cs="Arial"/>
          <w:sz w:val="24"/>
          <w:szCs w:val="24"/>
        </w:rPr>
        <w:t>.</w:t>
      </w:r>
    </w:p>
    <w:p w:rsidR="00881501" w:rsidRDefault="00881501" w:rsidP="00040F95">
      <w:pPr>
        <w:pStyle w:val="Textoindependiente"/>
        <w:numPr>
          <w:ilvl w:val="0"/>
          <w:numId w:val="20"/>
        </w:numPr>
        <w:spacing w:before="120" w:after="120" w:line="360" w:lineRule="auto"/>
        <w:ind w:left="1094" w:hanging="357"/>
        <w:jc w:val="both"/>
        <w:rPr>
          <w:rFonts w:cs="Arial"/>
          <w:sz w:val="24"/>
          <w:szCs w:val="24"/>
          <w:lang w:val="es-ES_tradnl"/>
        </w:rPr>
      </w:pPr>
      <w:r>
        <w:rPr>
          <w:rFonts w:cs="Arial"/>
          <w:sz w:val="24"/>
          <w:szCs w:val="24"/>
          <w:lang w:val="es-ES_tradnl"/>
        </w:rPr>
        <w:t xml:space="preserve">Para efectos de acreditar la solvencia financiera, </w:t>
      </w:r>
      <w:r w:rsidR="008A0DDF">
        <w:rPr>
          <w:rFonts w:cs="Arial"/>
          <w:sz w:val="24"/>
          <w:szCs w:val="24"/>
          <w:lang w:val="es-ES_tradnl"/>
        </w:rPr>
        <w:t>bastará</w:t>
      </w:r>
      <w:r>
        <w:rPr>
          <w:rFonts w:cs="Arial"/>
          <w:sz w:val="24"/>
          <w:szCs w:val="24"/>
          <w:lang w:val="es-ES_tradnl"/>
        </w:rPr>
        <w:t xml:space="preserve"> consultar</w:t>
      </w:r>
      <w:r w:rsidR="008A0DDF" w:rsidRPr="008A0DDF">
        <w:rPr>
          <w:rFonts w:cs="Arial"/>
          <w:sz w:val="24"/>
          <w:szCs w:val="24"/>
          <w:lang w:val="es-ES_tradnl"/>
        </w:rPr>
        <w:t xml:space="preserve"> en el sitio web de la Comisión Nacional de Seguros y Fianzas, </w:t>
      </w:r>
      <w:r w:rsidR="009371C6">
        <w:rPr>
          <w:rFonts w:cs="Arial"/>
          <w:sz w:val="24"/>
          <w:szCs w:val="24"/>
          <w:lang w:val="es-ES_tradnl"/>
        </w:rPr>
        <w:t>que cuent</w:t>
      </w:r>
      <w:r w:rsidR="008A0DDF">
        <w:rPr>
          <w:rFonts w:cs="Arial"/>
          <w:sz w:val="24"/>
          <w:szCs w:val="24"/>
          <w:lang w:val="es-ES_tradnl"/>
        </w:rPr>
        <w:t>e</w:t>
      </w:r>
      <w:r w:rsidR="009371C6">
        <w:rPr>
          <w:rFonts w:cs="Arial"/>
          <w:sz w:val="24"/>
          <w:szCs w:val="24"/>
          <w:lang w:val="es-ES_tradnl"/>
        </w:rPr>
        <w:t>n con</w:t>
      </w:r>
      <w:r w:rsidR="008A0DDF">
        <w:rPr>
          <w:rFonts w:cs="Arial"/>
          <w:sz w:val="24"/>
          <w:szCs w:val="24"/>
          <w:lang w:val="es-ES_tradnl"/>
        </w:rPr>
        <w:t xml:space="preserve"> la</w:t>
      </w:r>
      <w:r w:rsidR="009371C6" w:rsidRPr="009371C6">
        <w:rPr>
          <w:rFonts w:cs="Arial"/>
          <w:sz w:val="24"/>
          <w:szCs w:val="24"/>
          <w:lang w:val="es-ES_tradnl"/>
        </w:rPr>
        <w:t xml:space="preserve"> autorización vigente para operar como institución de seguros a la fecha de la </w:t>
      </w:r>
      <w:r w:rsidR="008A0DDF">
        <w:rPr>
          <w:rFonts w:cs="Arial"/>
          <w:sz w:val="24"/>
          <w:szCs w:val="24"/>
          <w:lang w:val="es-ES_tradnl"/>
        </w:rPr>
        <w:t>emisión del</w:t>
      </w:r>
      <w:r w:rsidR="009371C6" w:rsidRPr="009371C6">
        <w:rPr>
          <w:rFonts w:cs="Arial"/>
          <w:sz w:val="24"/>
          <w:szCs w:val="24"/>
          <w:lang w:val="es-ES_tradnl"/>
        </w:rPr>
        <w:t xml:space="preserve"> Dictamen Resolutivo Financiero</w:t>
      </w:r>
      <w:r w:rsidR="008A0DDF">
        <w:rPr>
          <w:rFonts w:cs="Arial"/>
          <w:sz w:val="24"/>
          <w:szCs w:val="24"/>
          <w:lang w:val="es-ES_tradnl"/>
        </w:rPr>
        <w:t>, manifestando en éste</w:t>
      </w:r>
      <w:r w:rsidR="009371C6" w:rsidRPr="009371C6">
        <w:rPr>
          <w:rFonts w:cs="Arial"/>
          <w:sz w:val="24"/>
          <w:szCs w:val="24"/>
          <w:lang w:val="es-ES_tradnl"/>
        </w:rPr>
        <w:t xml:space="preserve"> los resultados obtenidos</w:t>
      </w:r>
      <w:r w:rsidR="008A0DDF">
        <w:rPr>
          <w:rFonts w:cs="Arial"/>
          <w:sz w:val="24"/>
          <w:szCs w:val="24"/>
          <w:lang w:val="es-ES_tradnl"/>
        </w:rPr>
        <w:t xml:space="preserve"> de dicha consulta</w:t>
      </w:r>
      <w:r w:rsidR="009371C6">
        <w:rPr>
          <w:rFonts w:cs="Arial"/>
          <w:sz w:val="24"/>
          <w:szCs w:val="24"/>
          <w:lang w:val="es-ES_tradnl"/>
        </w:rPr>
        <w:t>.</w:t>
      </w:r>
    </w:p>
    <w:p w:rsidR="00AA456D" w:rsidRDefault="00AA456D" w:rsidP="00AA456D">
      <w:pPr>
        <w:pStyle w:val="Textoindependiente"/>
        <w:spacing w:before="120" w:after="120" w:line="360" w:lineRule="auto"/>
        <w:ind w:left="1094"/>
        <w:jc w:val="both"/>
        <w:rPr>
          <w:rFonts w:cs="Arial"/>
          <w:sz w:val="24"/>
          <w:szCs w:val="24"/>
          <w:lang w:val="es-ES_tradnl"/>
        </w:rPr>
      </w:pPr>
    </w:p>
    <w:p w:rsidR="005C6384" w:rsidRDefault="005C6384" w:rsidP="003A5FB6">
      <w:pPr>
        <w:pStyle w:val="Textoindependiente"/>
        <w:numPr>
          <w:ilvl w:val="0"/>
          <w:numId w:val="13"/>
        </w:numPr>
        <w:tabs>
          <w:tab w:val="left" w:pos="900"/>
        </w:tabs>
        <w:spacing w:before="120" w:after="120" w:line="360" w:lineRule="auto"/>
        <w:jc w:val="both"/>
        <w:rPr>
          <w:rFonts w:cs="Arial"/>
          <w:sz w:val="24"/>
          <w:szCs w:val="24"/>
        </w:rPr>
      </w:pPr>
      <w:r w:rsidRPr="008B66BC">
        <w:rPr>
          <w:rFonts w:cs="Arial"/>
          <w:sz w:val="24"/>
          <w:szCs w:val="24"/>
        </w:rPr>
        <w:t>De conformidad con lo dispuesto en los artículos 63 y 79 fracción IV del Acuerdo General, será causa de opinión negativa y descalificación inmediata para el proveedor, prestador de servicios o contratista participante en los procedimientos de Licitación Pública Nacional e Invitación a cuando menos Tres Proveedores o contratistas, cuando se incurra en alguno de los supuestos siguientes:</w:t>
      </w:r>
    </w:p>
    <w:p w:rsidR="007921DA" w:rsidRPr="008B66BC" w:rsidRDefault="007921DA" w:rsidP="007921DA">
      <w:pPr>
        <w:pStyle w:val="Textoindependiente"/>
        <w:tabs>
          <w:tab w:val="left" w:pos="900"/>
        </w:tabs>
        <w:spacing w:before="120" w:after="120" w:line="360" w:lineRule="auto"/>
        <w:ind w:left="720"/>
        <w:jc w:val="both"/>
        <w:rPr>
          <w:rFonts w:cs="Arial"/>
          <w:sz w:val="24"/>
          <w:szCs w:val="24"/>
        </w:rPr>
      </w:pPr>
    </w:p>
    <w:p w:rsidR="005C6384" w:rsidRPr="00040F95" w:rsidRDefault="005C6384" w:rsidP="009F489C">
      <w:pPr>
        <w:pStyle w:val="Textoindependiente"/>
        <w:numPr>
          <w:ilvl w:val="0"/>
          <w:numId w:val="21"/>
        </w:numPr>
        <w:spacing w:before="120" w:after="120" w:line="360" w:lineRule="auto"/>
        <w:ind w:left="1094" w:hanging="357"/>
        <w:jc w:val="both"/>
        <w:rPr>
          <w:rFonts w:cs="Arial"/>
          <w:sz w:val="24"/>
          <w:szCs w:val="24"/>
          <w:lang w:val="es-ES_tradnl"/>
        </w:rPr>
      </w:pPr>
      <w:r w:rsidRPr="00040F95">
        <w:rPr>
          <w:rFonts w:cs="Arial"/>
          <w:sz w:val="24"/>
          <w:szCs w:val="24"/>
          <w:lang w:val="es-ES_tradnl"/>
        </w:rPr>
        <w:t xml:space="preserve">Incumplimiento de alguno de los requisitos contables y financieros señalados en el numeral </w:t>
      </w:r>
      <w:r w:rsidR="00040F95" w:rsidRPr="00040F95">
        <w:rPr>
          <w:rFonts w:cs="Arial"/>
          <w:sz w:val="24"/>
          <w:szCs w:val="24"/>
          <w:lang w:val="es-ES_tradnl"/>
        </w:rPr>
        <w:t>4</w:t>
      </w:r>
      <w:r w:rsidRPr="00040F95">
        <w:rPr>
          <w:rFonts w:cs="Arial"/>
          <w:sz w:val="24"/>
          <w:szCs w:val="24"/>
          <w:lang w:val="es-ES_tradnl"/>
        </w:rPr>
        <w:t xml:space="preserve"> de los presentes lineamientos.</w:t>
      </w:r>
    </w:p>
    <w:p w:rsidR="005C6384" w:rsidRPr="00040F95" w:rsidRDefault="005C6384" w:rsidP="009F489C">
      <w:pPr>
        <w:pStyle w:val="Textoindependiente"/>
        <w:numPr>
          <w:ilvl w:val="0"/>
          <w:numId w:val="21"/>
        </w:numPr>
        <w:spacing w:before="120" w:after="120" w:line="360" w:lineRule="auto"/>
        <w:ind w:left="1094" w:hanging="357"/>
        <w:jc w:val="both"/>
        <w:rPr>
          <w:rFonts w:cs="Arial"/>
          <w:sz w:val="24"/>
          <w:szCs w:val="24"/>
          <w:lang w:val="es-ES_tradnl"/>
        </w:rPr>
      </w:pPr>
      <w:r w:rsidRPr="00040F95">
        <w:rPr>
          <w:rFonts w:cs="Arial"/>
          <w:sz w:val="24"/>
          <w:szCs w:val="24"/>
          <w:lang w:val="es-ES_tradnl"/>
        </w:rPr>
        <w:t>Cuando en el proceso de análisis de la documentación financiera entregada a revisión, se detecte una situación de quiebra técnica, al reportar pérdidas acumuladas mayores a las dos terceras partes de su capital social, en términos de lo establecido en la Fracción V del artículo 229 de la Ley Gen</w:t>
      </w:r>
      <w:r w:rsidR="00851BD8" w:rsidRPr="00040F95">
        <w:rPr>
          <w:rFonts w:cs="Arial"/>
          <w:sz w:val="24"/>
          <w:szCs w:val="24"/>
          <w:lang w:val="es-ES_tradnl"/>
        </w:rPr>
        <w:t>eral de Sociedades Mercantiles.</w:t>
      </w:r>
    </w:p>
    <w:p w:rsidR="005C6384" w:rsidRPr="008B66BC" w:rsidRDefault="005C6384" w:rsidP="009F489C">
      <w:pPr>
        <w:pStyle w:val="Textoindependiente"/>
        <w:spacing w:before="120" w:after="120" w:line="360" w:lineRule="auto"/>
        <w:ind w:left="1106"/>
        <w:jc w:val="both"/>
        <w:rPr>
          <w:rFonts w:cs="Arial"/>
          <w:sz w:val="24"/>
          <w:szCs w:val="24"/>
        </w:rPr>
      </w:pPr>
      <w:r w:rsidRPr="008B66BC">
        <w:rPr>
          <w:rFonts w:cs="Arial"/>
          <w:sz w:val="24"/>
          <w:szCs w:val="24"/>
        </w:rPr>
        <w:lastRenderedPageBreak/>
        <w:t>Las empresas que se encuentren en este supuesto, no será necesario transcribir los resultados de las mediciones financieras en el Dictamen Resolutivo Financiero.</w:t>
      </w:r>
    </w:p>
    <w:p w:rsidR="005C6384" w:rsidRPr="009F489C" w:rsidRDefault="005C6384" w:rsidP="009F489C">
      <w:pPr>
        <w:pStyle w:val="Textoindependiente"/>
        <w:numPr>
          <w:ilvl w:val="0"/>
          <w:numId w:val="21"/>
        </w:numPr>
        <w:spacing w:before="120" w:after="120" w:line="360" w:lineRule="auto"/>
        <w:ind w:left="1094" w:hanging="357"/>
        <w:jc w:val="both"/>
        <w:rPr>
          <w:rFonts w:cs="Arial"/>
          <w:sz w:val="24"/>
          <w:szCs w:val="24"/>
          <w:lang w:val="es-ES_tradnl"/>
        </w:rPr>
      </w:pPr>
      <w:r w:rsidRPr="009F489C">
        <w:rPr>
          <w:rFonts w:cs="Arial"/>
          <w:sz w:val="24"/>
          <w:szCs w:val="24"/>
          <w:lang w:val="es-ES_tradnl"/>
        </w:rPr>
        <w:t>Existan discrepancias entre sí en la documentación financiera presentada para el dictamen, o bien contra la información consignada en las Declaraciones Anuales de Impuestos, que afecten</w:t>
      </w:r>
      <w:r w:rsidR="0062682F" w:rsidRPr="009F489C">
        <w:rPr>
          <w:rFonts w:cs="Arial"/>
          <w:sz w:val="24"/>
          <w:szCs w:val="24"/>
          <w:lang w:val="es-ES_tradnl"/>
        </w:rPr>
        <w:t xml:space="preserve"> en términos reales</w:t>
      </w:r>
      <w:r w:rsidRPr="009F489C">
        <w:rPr>
          <w:rFonts w:cs="Arial"/>
          <w:sz w:val="24"/>
          <w:szCs w:val="24"/>
          <w:lang w:val="es-ES_tradnl"/>
        </w:rPr>
        <w:t xml:space="preserve"> </w:t>
      </w:r>
      <w:r w:rsidR="0062682F" w:rsidRPr="009F489C">
        <w:rPr>
          <w:rFonts w:cs="Arial"/>
          <w:sz w:val="24"/>
          <w:szCs w:val="24"/>
          <w:lang w:val="es-ES_tradnl"/>
        </w:rPr>
        <w:t>los resultados del</w:t>
      </w:r>
      <w:r w:rsidRPr="009F489C">
        <w:rPr>
          <w:rFonts w:cs="Arial"/>
          <w:sz w:val="24"/>
          <w:szCs w:val="24"/>
          <w:lang w:val="es-ES_tradnl"/>
        </w:rPr>
        <w:t xml:space="preserve"> análisis de la solvencia financiera, debiendo la Coordinación Financiera informar puntualmente dichas discrepancias en el dictamen resolutivo financiero.</w:t>
      </w:r>
    </w:p>
    <w:p w:rsidR="005C6384" w:rsidRPr="009F489C" w:rsidRDefault="005C6384" w:rsidP="009F489C">
      <w:pPr>
        <w:pStyle w:val="Textoindependiente"/>
        <w:numPr>
          <w:ilvl w:val="0"/>
          <w:numId w:val="21"/>
        </w:numPr>
        <w:spacing w:before="120" w:after="120" w:line="360" w:lineRule="auto"/>
        <w:ind w:left="1094" w:hanging="357"/>
        <w:jc w:val="both"/>
        <w:rPr>
          <w:rFonts w:cs="Arial"/>
          <w:sz w:val="24"/>
          <w:szCs w:val="24"/>
          <w:lang w:val="es-ES_tradnl"/>
        </w:rPr>
      </w:pPr>
      <w:r w:rsidRPr="009F489C">
        <w:rPr>
          <w:rFonts w:cs="Arial"/>
          <w:sz w:val="24"/>
          <w:szCs w:val="24"/>
          <w:lang w:val="es-ES_tradnl"/>
        </w:rPr>
        <w:t xml:space="preserve">Cuando no se acredite a satisfacción la solvencia financiera de la empresa participante, en los términos señalados en el numeral </w:t>
      </w:r>
      <w:r w:rsidR="0032632D" w:rsidRPr="009F489C">
        <w:rPr>
          <w:rFonts w:cs="Arial"/>
          <w:sz w:val="24"/>
          <w:szCs w:val="24"/>
          <w:lang w:val="es-ES_tradnl"/>
        </w:rPr>
        <w:t>7</w:t>
      </w:r>
      <w:r w:rsidRPr="009F489C">
        <w:rPr>
          <w:rFonts w:cs="Arial"/>
          <w:sz w:val="24"/>
          <w:szCs w:val="24"/>
          <w:lang w:val="es-ES_tradnl"/>
        </w:rPr>
        <w:t xml:space="preserve"> de los presentes lineamientos.</w:t>
      </w:r>
    </w:p>
    <w:p w:rsidR="005C6384" w:rsidRPr="008B66BC" w:rsidRDefault="005C6384" w:rsidP="003A5FB6">
      <w:pPr>
        <w:pStyle w:val="Textoindependiente"/>
        <w:numPr>
          <w:ilvl w:val="0"/>
          <w:numId w:val="15"/>
        </w:numPr>
        <w:tabs>
          <w:tab w:val="left" w:pos="900"/>
        </w:tabs>
        <w:spacing w:before="120" w:after="120" w:line="360" w:lineRule="auto"/>
        <w:ind w:left="567" w:hanging="567"/>
        <w:jc w:val="both"/>
        <w:rPr>
          <w:rFonts w:cs="Arial"/>
          <w:sz w:val="24"/>
          <w:szCs w:val="24"/>
        </w:rPr>
      </w:pPr>
      <w:r w:rsidRPr="008B66BC">
        <w:rPr>
          <w:rFonts w:cs="Arial"/>
          <w:sz w:val="24"/>
          <w:szCs w:val="24"/>
        </w:rPr>
        <w:t xml:space="preserve">Los proveedores, prestadores de servicios o contratistas deberán presentar durante el proceso de entrega y apertura de propuestas, la documentación financiera señalada en el numeral </w:t>
      </w:r>
      <w:r w:rsidR="0032632D">
        <w:rPr>
          <w:rFonts w:cs="Arial"/>
          <w:sz w:val="24"/>
          <w:szCs w:val="24"/>
        </w:rPr>
        <w:t>4</w:t>
      </w:r>
      <w:r w:rsidRPr="008B66BC">
        <w:rPr>
          <w:rFonts w:cs="Arial"/>
          <w:sz w:val="24"/>
          <w:szCs w:val="24"/>
        </w:rPr>
        <w:t xml:space="preserve"> de los presentes lineamientos, para cada uno de los procesos de Licitación Pública Nacional e Invitación a cuando menos tres proveedores o contratistas en que participen.</w:t>
      </w:r>
    </w:p>
    <w:p w:rsidR="00B920BD" w:rsidRDefault="005C6384" w:rsidP="003A5FB6">
      <w:pPr>
        <w:pStyle w:val="Textoindependiente"/>
        <w:numPr>
          <w:ilvl w:val="0"/>
          <w:numId w:val="15"/>
        </w:numPr>
        <w:tabs>
          <w:tab w:val="left" w:pos="900"/>
        </w:tabs>
        <w:spacing w:before="120" w:after="120" w:line="360" w:lineRule="auto"/>
        <w:ind w:left="567" w:hanging="567"/>
        <w:jc w:val="both"/>
        <w:rPr>
          <w:rFonts w:cs="Arial"/>
          <w:sz w:val="24"/>
          <w:szCs w:val="24"/>
        </w:rPr>
      </w:pPr>
      <w:r w:rsidRPr="00B920BD">
        <w:rPr>
          <w:rFonts w:cs="Arial"/>
          <w:sz w:val="24"/>
          <w:szCs w:val="24"/>
        </w:rPr>
        <w:t xml:space="preserve">La Dirección General de Recursos Materiales y la Jefatura de </w:t>
      </w:r>
      <w:r w:rsidR="009F489C">
        <w:rPr>
          <w:rFonts w:cs="Arial"/>
          <w:sz w:val="24"/>
          <w:szCs w:val="24"/>
        </w:rPr>
        <w:t xml:space="preserve">la </w:t>
      </w:r>
      <w:r w:rsidRPr="00B920BD">
        <w:rPr>
          <w:rFonts w:cs="Arial"/>
          <w:sz w:val="24"/>
          <w:szCs w:val="24"/>
        </w:rPr>
        <w:t xml:space="preserve">Unidad de Control de Obras y Conservación, deberán proporcionar las bases de cada licitación, conjuntamente con la documentación financiera, para su análisis correspondiente, en un plazo no mayor a </w:t>
      </w:r>
      <w:r w:rsidR="009F489C">
        <w:rPr>
          <w:rFonts w:cs="Arial"/>
          <w:sz w:val="24"/>
          <w:szCs w:val="24"/>
        </w:rPr>
        <w:t>24</w:t>
      </w:r>
      <w:r w:rsidRPr="00B920BD">
        <w:rPr>
          <w:rFonts w:cs="Arial"/>
          <w:sz w:val="24"/>
          <w:szCs w:val="24"/>
        </w:rPr>
        <w:t xml:space="preserve"> horas posteriores a la entrega y apertura de propuestas de cada proceso de Licitación Pública Nacional e Invitación a cuando menos tres proveedores o contratistas, directamente a la Jefatura de Unidad de Contabilidad, turnando copia del oficio correspondiente a la Coordinación Financiera.</w:t>
      </w:r>
    </w:p>
    <w:p w:rsidR="003C0215" w:rsidRDefault="003C0215" w:rsidP="003A5FB6">
      <w:pPr>
        <w:pStyle w:val="Prrafodelista"/>
        <w:numPr>
          <w:ilvl w:val="3"/>
          <w:numId w:val="11"/>
        </w:numPr>
        <w:spacing w:line="384" w:lineRule="auto"/>
        <w:ind w:left="567" w:right="45" w:hanging="567"/>
        <w:jc w:val="both"/>
        <w:rPr>
          <w:rFonts w:ascii="Arial" w:hAnsi="Arial" w:cs="Arial"/>
          <w:noProof/>
          <w:color w:val="000000"/>
          <w:lang w:eastAsia="es-MX"/>
        </w:rPr>
      </w:pPr>
      <w:r w:rsidRPr="003C0215">
        <w:rPr>
          <w:rFonts w:ascii="Arial" w:hAnsi="Arial" w:cs="Arial"/>
          <w:b/>
          <w:noProof/>
          <w:color w:val="000000"/>
          <w:lang w:eastAsia="es-MX"/>
        </w:rPr>
        <w:t>Mecanismos de vigilancia y evaluación.</w:t>
      </w:r>
    </w:p>
    <w:p w:rsidR="009F5D8C" w:rsidRPr="009F5D8C" w:rsidRDefault="00F76792" w:rsidP="009F5D8C">
      <w:pPr>
        <w:pStyle w:val="Textoindependiente"/>
        <w:numPr>
          <w:ilvl w:val="0"/>
          <w:numId w:val="15"/>
        </w:numPr>
        <w:tabs>
          <w:tab w:val="left" w:pos="900"/>
        </w:tabs>
        <w:spacing w:before="120" w:after="120" w:line="360" w:lineRule="auto"/>
        <w:ind w:left="567" w:hanging="567"/>
        <w:jc w:val="both"/>
        <w:rPr>
          <w:rFonts w:cs="Arial"/>
          <w:sz w:val="24"/>
          <w:szCs w:val="24"/>
        </w:rPr>
      </w:pPr>
      <w:r w:rsidRPr="00B920BD">
        <w:rPr>
          <w:rFonts w:cs="Arial"/>
          <w:sz w:val="24"/>
          <w:szCs w:val="24"/>
        </w:rPr>
        <w:t>La Secretaría Administrativa es la instancia facultada para la interpretación de los presentes Lineamientos</w:t>
      </w:r>
      <w:r w:rsidR="009F5D8C" w:rsidRPr="009F5D8C">
        <w:rPr>
          <w:rFonts w:cs="Arial"/>
          <w:sz w:val="24"/>
          <w:szCs w:val="24"/>
        </w:rPr>
        <w:t xml:space="preserve"> y su vigilancia y evaluación, recae en la Coordinación Financiera a través de la Unidad de Contabilidad. </w:t>
      </w:r>
    </w:p>
    <w:p w:rsidR="00246336" w:rsidRPr="00761775" w:rsidRDefault="00761775" w:rsidP="005C6384">
      <w:pPr>
        <w:spacing w:line="360" w:lineRule="auto"/>
        <w:jc w:val="center"/>
        <w:rPr>
          <w:rFonts w:ascii="Arial" w:hAnsi="Arial" w:cs="Arial"/>
          <w:b/>
          <w:color w:val="00863D"/>
          <w:sz w:val="28"/>
          <w:szCs w:val="28"/>
        </w:rPr>
      </w:pPr>
      <w:r>
        <w:rPr>
          <w:rFonts w:cs="Arial"/>
          <w:b/>
          <w:color w:val="00863D"/>
          <w:sz w:val="28"/>
          <w:szCs w:val="28"/>
        </w:rPr>
        <w:br w:type="page"/>
      </w:r>
      <w:r w:rsidR="00246336" w:rsidRPr="00761775">
        <w:rPr>
          <w:rFonts w:ascii="Arial" w:hAnsi="Arial" w:cs="Arial"/>
          <w:b/>
          <w:color w:val="00863D"/>
          <w:sz w:val="28"/>
          <w:szCs w:val="28"/>
        </w:rPr>
        <w:lastRenderedPageBreak/>
        <w:t>TRANSITORIOS</w:t>
      </w:r>
    </w:p>
    <w:p w:rsidR="00B04DF6" w:rsidRPr="0087478B" w:rsidRDefault="00B04DF6" w:rsidP="0087478B">
      <w:pPr>
        <w:spacing w:line="360" w:lineRule="auto"/>
        <w:ind w:right="48"/>
        <w:jc w:val="both"/>
        <w:rPr>
          <w:rFonts w:ascii="Arial" w:hAnsi="Arial" w:cs="Arial"/>
          <w:noProof/>
          <w:lang w:eastAsia="es-MX"/>
        </w:rPr>
      </w:pPr>
    </w:p>
    <w:p w:rsidR="00F23458" w:rsidRDefault="003F495F" w:rsidP="00F23458">
      <w:pPr>
        <w:pStyle w:val="Textoindependiente"/>
        <w:spacing w:line="360" w:lineRule="auto"/>
        <w:ind w:left="2127" w:right="48" w:hanging="1701"/>
        <w:jc w:val="both"/>
        <w:rPr>
          <w:rFonts w:cs="Arial"/>
          <w:sz w:val="24"/>
          <w:szCs w:val="24"/>
          <w:lang w:val="es-ES_tradnl"/>
        </w:rPr>
      </w:pPr>
      <w:r w:rsidRPr="003F495F">
        <w:rPr>
          <w:rFonts w:cs="Arial"/>
          <w:b/>
          <w:sz w:val="24"/>
          <w:szCs w:val="24"/>
        </w:rPr>
        <w:t>PRIMERO.</w:t>
      </w:r>
      <w:r w:rsidRPr="003F495F">
        <w:rPr>
          <w:rFonts w:cs="Arial"/>
          <w:b/>
          <w:sz w:val="24"/>
          <w:szCs w:val="24"/>
        </w:rPr>
        <w:tab/>
      </w:r>
      <w:r w:rsidR="00761775">
        <w:rPr>
          <w:rFonts w:cs="Arial"/>
          <w:color w:val="000000" w:themeColor="text1"/>
          <w:sz w:val="24"/>
          <w:szCs w:val="24"/>
        </w:rPr>
        <w:t>Los presentes</w:t>
      </w:r>
      <w:r w:rsidR="00761775" w:rsidRPr="00325EC6">
        <w:rPr>
          <w:rFonts w:cs="Arial"/>
          <w:color w:val="000000" w:themeColor="text1"/>
          <w:sz w:val="24"/>
          <w:szCs w:val="24"/>
        </w:rPr>
        <w:t xml:space="preserve"> Lineamientos entrará</w:t>
      </w:r>
      <w:r w:rsidR="00761775">
        <w:rPr>
          <w:rFonts w:cs="Arial"/>
          <w:color w:val="000000" w:themeColor="text1"/>
          <w:sz w:val="24"/>
          <w:szCs w:val="24"/>
        </w:rPr>
        <w:t>n</w:t>
      </w:r>
      <w:r w:rsidR="00761775" w:rsidRPr="00325EC6">
        <w:rPr>
          <w:rFonts w:cs="Arial"/>
          <w:color w:val="000000" w:themeColor="text1"/>
          <w:sz w:val="24"/>
          <w:szCs w:val="24"/>
        </w:rPr>
        <w:t xml:space="preserve"> en vigor el día </w:t>
      </w:r>
      <w:r w:rsidR="0093786A">
        <w:rPr>
          <w:rFonts w:cs="Arial"/>
          <w:color w:val="000000" w:themeColor="text1"/>
          <w:sz w:val="24"/>
          <w:szCs w:val="24"/>
        </w:rPr>
        <w:t>siguiente a</w:t>
      </w:r>
      <w:r w:rsidR="00761775" w:rsidRPr="00325EC6">
        <w:rPr>
          <w:rFonts w:cs="Arial"/>
          <w:color w:val="000000" w:themeColor="text1"/>
          <w:sz w:val="24"/>
          <w:szCs w:val="24"/>
        </w:rPr>
        <w:t xml:space="preserve"> su publica</w:t>
      </w:r>
      <w:r w:rsidR="00761775">
        <w:rPr>
          <w:rFonts w:cs="Arial"/>
          <w:color w:val="000000" w:themeColor="text1"/>
          <w:sz w:val="24"/>
          <w:szCs w:val="24"/>
        </w:rPr>
        <w:t xml:space="preserve">ción en </w:t>
      </w:r>
      <w:r w:rsidR="0093786A">
        <w:rPr>
          <w:rFonts w:cs="Arial"/>
          <w:color w:val="000000" w:themeColor="text1"/>
          <w:sz w:val="24"/>
          <w:szCs w:val="24"/>
        </w:rPr>
        <w:t>el Diario Oficial</w:t>
      </w:r>
      <w:r w:rsidR="00761775" w:rsidRPr="00325EC6">
        <w:rPr>
          <w:rFonts w:cs="Arial"/>
          <w:color w:val="000000" w:themeColor="text1"/>
          <w:sz w:val="24"/>
          <w:szCs w:val="24"/>
        </w:rPr>
        <w:t xml:space="preserve"> de la Federación.</w:t>
      </w:r>
    </w:p>
    <w:p w:rsidR="00761775" w:rsidRPr="0087478B" w:rsidRDefault="00761775" w:rsidP="0087478B">
      <w:pPr>
        <w:spacing w:line="360" w:lineRule="auto"/>
        <w:ind w:right="48"/>
        <w:jc w:val="both"/>
        <w:rPr>
          <w:rFonts w:ascii="Arial" w:hAnsi="Arial" w:cs="Arial"/>
          <w:noProof/>
          <w:lang w:eastAsia="es-MX"/>
        </w:rPr>
      </w:pPr>
    </w:p>
    <w:p w:rsidR="0089275A" w:rsidRDefault="00F23458" w:rsidP="005C6384">
      <w:pPr>
        <w:pStyle w:val="Textoindependiente"/>
        <w:spacing w:line="360" w:lineRule="auto"/>
        <w:ind w:left="2127" w:right="48" w:hanging="1701"/>
        <w:jc w:val="both"/>
        <w:rPr>
          <w:rFonts w:cs="Arial"/>
          <w:sz w:val="24"/>
          <w:szCs w:val="24"/>
        </w:rPr>
      </w:pPr>
      <w:r>
        <w:rPr>
          <w:rFonts w:cs="Arial"/>
          <w:b/>
          <w:sz w:val="24"/>
          <w:szCs w:val="24"/>
        </w:rPr>
        <w:t>SEGUNDO.</w:t>
      </w:r>
      <w:r w:rsidR="00851BD8">
        <w:rPr>
          <w:rFonts w:cs="Arial"/>
          <w:b/>
          <w:sz w:val="24"/>
          <w:szCs w:val="24"/>
        </w:rPr>
        <w:tab/>
      </w:r>
      <w:r w:rsidR="00CF2A93">
        <w:rPr>
          <w:rFonts w:cs="Arial"/>
          <w:color w:val="000000"/>
          <w:sz w:val="24"/>
          <w:szCs w:val="24"/>
        </w:rPr>
        <w:t xml:space="preserve">Para su mayor difusión, publíquese en la página de </w:t>
      </w:r>
      <w:r w:rsidR="009F5D8C">
        <w:rPr>
          <w:rFonts w:cs="Arial"/>
          <w:color w:val="000000"/>
          <w:sz w:val="24"/>
          <w:szCs w:val="24"/>
        </w:rPr>
        <w:t xml:space="preserve">Intranet e </w:t>
      </w:r>
      <w:r w:rsidR="00CF2A93">
        <w:rPr>
          <w:rFonts w:cs="Arial"/>
          <w:color w:val="000000"/>
          <w:sz w:val="24"/>
          <w:szCs w:val="24"/>
        </w:rPr>
        <w:t>Internet del Tribunal Electoral del Poder Judicial de la Federación y en el Diario Oficial de la Federación.</w:t>
      </w:r>
    </w:p>
    <w:p w:rsidR="00C97704" w:rsidRDefault="00C97704"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87478B">
      <w:pPr>
        <w:spacing w:line="360" w:lineRule="auto"/>
        <w:ind w:right="48"/>
        <w:jc w:val="both"/>
        <w:rPr>
          <w:rFonts w:ascii="Arial" w:hAnsi="Arial" w:cs="Arial"/>
          <w:noProof/>
          <w:lang w:eastAsia="es-MX"/>
        </w:rPr>
      </w:pPr>
    </w:p>
    <w:p w:rsidR="00AD2560" w:rsidRDefault="00AD2560" w:rsidP="00AD2560">
      <w:pPr>
        <w:pStyle w:val="Textodebloque"/>
        <w:spacing w:after="0" w:afterAutospacing="0"/>
        <w:ind w:left="0" w:right="0"/>
        <w:outlineLvl w:val="0"/>
        <w:rPr>
          <w:rFonts w:cs="Arial"/>
        </w:rPr>
      </w:pPr>
      <w:r>
        <w:rPr>
          <w:rFonts w:cs="Arial"/>
        </w:rPr>
        <w:lastRenderedPageBreak/>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b/>
        </w:rPr>
      </w:pPr>
      <w:r>
        <w:rPr>
          <w:rFonts w:cs="Arial"/>
          <w:b/>
        </w:rPr>
        <w:t>---------------------------------------------------C E R T I F I C A-------------------------------------------</w:t>
      </w:r>
    </w:p>
    <w:p w:rsidR="00AD2560" w:rsidRDefault="00AD2560" w:rsidP="00AD2560">
      <w:pPr>
        <w:pStyle w:val="Textodebloque"/>
        <w:spacing w:after="0" w:afterAutospacing="0"/>
        <w:ind w:left="0" w:right="0"/>
        <w:outlineLvl w:val="0"/>
        <w:rPr>
          <w:rFonts w:cs="Arial"/>
          <w:b/>
        </w:rPr>
      </w:pPr>
    </w:p>
    <w:p w:rsidR="00AD2560" w:rsidRDefault="00AD2560" w:rsidP="00AD2560">
      <w:pPr>
        <w:pStyle w:val="Textodebloque"/>
        <w:spacing w:after="0" w:afterAutospacing="0"/>
        <w:ind w:left="0" w:right="0"/>
        <w:outlineLvl w:val="0"/>
        <w:rPr>
          <w:rFonts w:cs="Arial"/>
          <w:b/>
        </w:rPr>
      </w:pPr>
    </w:p>
    <w:p w:rsidR="00AD2560" w:rsidRDefault="00AD2560" w:rsidP="00AD2560">
      <w:pPr>
        <w:pStyle w:val="Textodebloque"/>
        <w:spacing w:after="0" w:afterAutospacing="0"/>
        <w:ind w:left="0" w:right="0"/>
        <w:outlineLvl w:val="0"/>
        <w:rPr>
          <w:rFonts w:cs="Arial"/>
          <w:b/>
        </w:rPr>
      </w:pPr>
    </w:p>
    <w:p w:rsidR="00AD2560" w:rsidRDefault="00AD2560" w:rsidP="00AD2560">
      <w:pPr>
        <w:pStyle w:val="Textodebloque"/>
        <w:spacing w:after="0" w:afterAutospacing="0"/>
        <w:ind w:left="0" w:right="0"/>
        <w:outlineLvl w:val="0"/>
        <w:rPr>
          <w:rFonts w:cs="Arial"/>
          <w:b/>
        </w:rPr>
      </w:pPr>
    </w:p>
    <w:p w:rsidR="00AD2560" w:rsidRDefault="00AD2560" w:rsidP="00AD2560">
      <w:pPr>
        <w:pStyle w:val="Textodebloque"/>
        <w:spacing w:after="0" w:afterAutospacing="0"/>
        <w:ind w:left="0" w:right="0"/>
        <w:outlineLvl w:val="0"/>
        <w:rPr>
          <w:rFonts w:cs="Arial"/>
          <w:b/>
        </w:rPr>
      </w:pPr>
    </w:p>
    <w:p w:rsidR="00AD2560" w:rsidRDefault="00AD2560" w:rsidP="00AD2560">
      <w:pPr>
        <w:pStyle w:val="Textodebloque"/>
        <w:spacing w:after="0" w:afterAutospacing="0"/>
        <w:ind w:left="0" w:right="0"/>
        <w:outlineLvl w:val="0"/>
        <w:rPr>
          <w:rFonts w:cs="Arial"/>
        </w:rPr>
      </w:pPr>
      <w:r>
        <w:rPr>
          <w:rFonts w:cs="Arial"/>
        </w:rPr>
        <w:t>Que el presente documento copia en 23 fojas, corresponde a los “</w:t>
      </w:r>
      <w:r>
        <w:rPr>
          <w:rFonts w:cs="Arial"/>
          <w:b/>
        </w:rPr>
        <w:t xml:space="preserve">Lineamientos para la Elaboración y Emisión del Dictamen Resolutivo Financiero” </w:t>
      </w:r>
      <w:r w:rsidRPr="00AD2560">
        <w:rPr>
          <w:rFonts w:cs="Arial"/>
        </w:rPr>
        <w:t>aprobados por</w:t>
      </w:r>
      <w:r>
        <w:rPr>
          <w:rFonts w:cs="Arial"/>
          <w:b/>
        </w:rPr>
        <w:t xml:space="preserve"> </w:t>
      </w:r>
      <w:r>
        <w:rPr>
          <w:rFonts w:cs="Arial"/>
        </w:rPr>
        <w:t xml:space="preserve">la Comisión de Administración mediante acuerdo </w:t>
      </w:r>
      <w:r w:rsidR="00392743">
        <w:rPr>
          <w:rFonts w:cs="Arial"/>
          <w:b/>
        </w:rPr>
        <w:t>071/S3</w:t>
      </w:r>
      <w:r>
        <w:rPr>
          <w:rFonts w:cs="Arial"/>
          <w:b/>
        </w:rPr>
        <w:t>(</w:t>
      </w:r>
      <w:r w:rsidR="00392743">
        <w:rPr>
          <w:rFonts w:cs="Arial"/>
          <w:b/>
        </w:rPr>
        <w:t>1</w:t>
      </w:r>
      <w:r>
        <w:rPr>
          <w:rFonts w:cs="Arial"/>
          <w:b/>
        </w:rPr>
        <w:t>7-</w:t>
      </w:r>
      <w:r w:rsidR="00392743">
        <w:rPr>
          <w:rFonts w:cs="Arial"/>
          <w:b/>
        </w:rPr>
        <w:t>III-2015</w:t>
      </w:r>
      <w:r>
        <w:rPr>
          <w:rFonts w:cs="Arial"/>
          <w:b/>
        </w:rPr>
        <w:t xml:space="preserve">), </w:t>
      </w:r>
      <w:r>
        <w:rPr>
          <w:rFonts w:cs="Arial"/>
        </w:rPr>
        <w:t xml:space="preserve">emitido en la </w:t>
      </w:r>
      <w:r w:rsidR="00392743">
        <w:rPr>
          <w:rFonts w:cs="Arial"/>
        </w:rPr>
        <w:t>Tercera Sesión Ordinaria de 2015</w:t>
      </w:r>
      <w:r>
        <w:rPr>
          <w:rFonts w:cs="Arial"/>
        </w:rPr>
        <w:t>, que obra en los archivos de la Coordinación de Asuntos Jurídicos. DOY FE. ---------------------------------------------------------------------------------------------------------------------------------------------------------------------</w:t>
      </w:r>
      <w:r w:rsidR="00392743">
        <w:rPr>
          <w:rFonts w:cs="Arial"/>
        </w:rPr>
        <w:t>-------------------------------</w:t>
      </w: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r>
        <w:rPr>
          <w:rFonts w:cs="Arial"/>
        </w:rPr>
        <w:t xml:space="preserve">México, Distrito Federal, </w:t>
      </w:r>
      <w:r w:rsidR="00392743">
        <w:rPr>
          <w:rFonts w:cs="Arial"/>
        </w:rPr>
        <w:t>2</w:t>
      </w:r>
      <w:r>
        <w:rPr>
          <w:rFonts w:cs="Arial"/>
        </w:rPr>
        <w:t xml:space="preserve">3 de </w:t>
      </w:r>
      <w:r w:rsidR="00392743">
        <w:rPr>
          <w:rFonts w:cs="Arial"/>
        </w:rPr>
        <w:t>abril de 2015</w:t>
      </w:r>
      <w:r>
        <w:rPr>
          <w:rFonts w:cs="Arial"/>
        </w:rPr>
        <w:t>.---------------------------------------------------------</w:t>
      </w: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outlineLvl w:val="0"/>
        <w:rPr>
          <w:rFonts w:cs="Arial"/>
        </w:rPr>
      </w:pPr>
    </w:p>
    <w:p w:rsidR="00AD2560" w:rsidRDefault="00AD2560" w:rsidP="00AD2560">
      <w:pPr>
        <w:pStyle w:val="Textodebloque"/>
        <w:spacing w:after="0" w:afterAutospacing="0"/>
        <w:ind w:left="0" w:right="0"/>
        <w:jc w:val="center"/>
        <w:outlineLvl w:val="0"/>
        <w:rPr>
          <w:rFonts w:cs="Arial"/>
          <w:b/>
        </w:rPr>
      </w:pPr>
      <w:r>
        <w:rPr>
          <w:rFonts w:cs="Arial"/>
          <w:b/>
        </w:rPr>
        <w:t>EL SECRETARIO DE LA COMISIÓN DE ADMINISTRACIÓN</w:t>
      </w:r>
    </w:p>
    <w:p w:rsidR="00AD2560" w:rsidRDefault="00AD2560" w:rsidP="00AD2560">
      <w:pPr>
        <w:pStyle w:val="Textodebloque"/>
        <w:spacing w:after="0" w:afterAutospacing="0"/>
        <w:ind w:left="0" w:right="0"/>
        <w:jc w:val="center"/>
        <w:outlineLvl w:val="0"/>
        <w:rPr>
          <w:rFonts w:cs="Arial"/>
          <w:b/>
        </w:rPr>
      </w:pPr>
      <w:r>
        <w:rPr>
          <w:rFonts w:cs="Arial"/>
          <w:b/>
        </w:rPr>
        <w:t>DEL TRIBUNAL ELECTORAL DEL PODER JUDICIAL DE LA FEDERACIÓN</w:t>
      </w:r>
    </w:p>
    <w:p w:rsidR="00AD2560" w:rsidRDefault="00AD2560" w:rsidP="00AD2560">
      <w:pPr>
        <w:pStyle w:val="Textodebloque"/>
        <w:spacing w:after="0" w:afterAutospacing="0" w:line="360" w:lineRule="auto"/>
        <w:ind w:left="0" w:right="0"/>
        <w:jc w:val="center"/>
        <w:outlineLvl w:val="0"/>
        <w:rPr>
          <w:rFonts w:cs="Arial"/>
          <w:b/>
        </w:rPr>
      </w:pPr>
    </w:p>
    <w:p w:rsidR="00AD2560" w:rsidRDefault="00AD2560" w:rsidP="00AD2560">
      <w:pPr>
        <w:pStyle w:val="Textodebloque"/>
        <w:spacing w:after="0" w:afterAutospacing="0" w:line="360" w:lineRule="auto"/>
        <w:ind w:left="0" w:right="0"/>
        <w:jc w:val="center"/>
        <w:outlineLvl w:val="0"/>
        <w:rPr>
          <w:rFonts w:cs="Arial"/>
          <w:b/>
        </w:rPr>
      </w:pPr>
    </w:p>
    <w:p w:rsidR="00AD2560" w:rsidRDefault="00AD2560" w:rsidP="00AD2560">
      <w:pPr>
        <w:rPr>
          <w:rFonts w:ascii="Arial" w:hAnsi="Arial" w:cs="Arial"/>
          <w:color w:val="000000"/>
        </w:rPr>
      </w:pPr>
    </w:p>
    <w:p w:rsidR="00AD2560" w:rsidRDefault="00AD2560" w:rsidP="00AD2560">
      <w:pPr>
        <w:rPr>
          <w:rFonts w:ascii="Arial" w:hAnsi="Arial" w:cs="Arial"/>
          <w:color w:val="000000"/>
        </w:rPr>
      </w:pPr>
    </w:p>
    <w:p w:rsidR="00AD2560" w:rsidRDefault="00AD2560" w:rsidP="00AD2560">
      <w:pPr>
        <w:jc w:val="center"/>
        <w:rPr>
          <w:rFonts w:ascii="Arial" w:hAnsi="Arial" w:cs="Arial"/>
          <w:b/>
          <w:color w:val="000000"/>
        </w:rPr>
      </w:pPr>
      <w:r>
        <w:rPr>
          <w:rFonts w:ascii="Arial" w:hAnsi="Arial" w:cs="Arial"/>
          <w:b/>
          <w:color w:val="000000"/>
        </w:rPr>
        <w:t>LICENCIADO JORGE ENRIQUE MATA GÓMEZ</w:t>
      </w:r>
    </w:p>
    <w:p w:rsidR="00AD2560" w:rsidRPr="0087478B" w:rsidRDefault="00AD2560" w:rsidP="0087478B">
      <w:pPr>
        <w:spacing w:line="360" w:lineRule="auto"/>
        <w:ind w:right="48"/>
        <w:jc w:val="both"/>
        <w:rPr>
          <w:rFonts w:ascii="Arial" w:hAnsi="Arial" w:cs="Arial"/>
          <w:noProof/>
          <w:lang w:eastAsia="es-MX"/>
        </w:rPr>
      </w:pPr>
    </w:p>
    <w:sectPr w:rsidR="00AD2560" w:rsidRPr="0087478B" w:rsidSect="00461F4D">
      <w:footnotePr>
        <w:numRestart w:val="eachSect"/>
      </w:footnotePr>
      <w:pgSz w:w="12240" w:h="15840"/>
      <w:pgMar w:top="1134" w:right="1418" w:bottom="1134" w:left="1418" w:header="284"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BF" w:rsidRDefault="00C870BF" w:rsidP="008712CC">
      <w:r>
        <w:separator/>
      </w:r>
    </w:p>
  </w:endnote>
  <w:endnote w:type="continuationSeparator" w:id="0">
    <w:p w:rsidR="00C870BF" w:rsidRDefault="00C870BF"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56895"/>
      <w:docPartObj>
        <w:docPartGallery w:val="Page Numbers (Bottom of Page)"/>
        <w:docPartUnique/>
      </w:docPartObj>
    </w:sdtPr>
    <w:sdtEndPr>
      <w:rPr>
        <w:rFonts w:asciiTheme="minorHAnsi" w:hAnsiTheme="minorHAnsi"/>
      </w:rPr>
    </w:sdtEndPr>
    <w:sdtContent>
      <w:p w:rsidR="002054B1" w:rsidRDefault="002054B1" w:rsidP="00653BD2">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2054B1" w:rsidRPr="00E66441" w:rsidRDefault="002054B1" w:rsidP="00E66441">
        <w:pPr>
          <w:spacing w:line="360" w:lineRule="auto"/>
          <w:ind w:right="-94"/>
          <w:jc w:val="right"/>
          <w:rPr>
            <w:rFonts w:ascii="Arial" w:hAnsi="Arial" w:cs="Arial"/>
            <w:noProof/>
            <w:sz w:val="22"/>
            <w:szCs w:val="22"/>
            <w:lang w:eastAsia="es-MX"/>
          </w:rPr>
        </w:pPr>
        <w:r w:rsidRPr="00E66441">
          <w:rPr>
            <w:rFonts w:ascii="Arial" w:hAnsi="Arial" w:cs="Arial"/>
            <w:b/>
            <w:noProof/>
            <w:sz w:val="22"/>
            <w:szCs w:val="22"/>
            <w:lang w:eastAsia="es-MX"/>
          </w:rPr>
          <w:t>SECRETAR</w:t>
        </w:r>
        <w:r>
          <w:rPr>
            <w:rFonts w:ascii="Arial" w:hAnsi="Arial" w:cs="Arial"/>
            <w:b/>
            <w:noProof/>
            <w:sz w:val="22"/>
            <w:szCs w:val="22"/>
            <w:lang w:eastAsia="es-MX"/>
          </w:rPr>
          <w:t>Í</w:t>
        </w:r>
        <w:r w:rsidRPr="00E66441">
          <w:rPr>
            <w:rFonts w:ascii="Arial" w:hAnsi="Arial" w:cs="Arial"/>
            <w:b/>
            <w:noProof/>
            <w:sz w:val="22"/>
            <w:szCs w:val="22"/>
            <w:lang w:eastAsia="es-MX"/>
          </w:rPr>
          <w:t xml:space="preserve">A </w:t>
        </w:r>
        <w:r>
          <w:rPr>
            <w:rFonts w:ascii="Arial" w:hAnsi="Arial" w:cs="Arial"/>
            <w:b/>
            <w:noProof/>
            <w:sz w:val="22"/>
            <w:szCs w:val="22"/>
            <w:lang w:eastAsia="es-MX"/>
          </w:rPr>
          <w:t>ADMINISTRATIVA</w:t>
        </w:r>
        <w:r w:rsidRPr="00E66441">
          <w:rPr>
            <w:rFonts w:ascii="Arial" w:hAnsi="Arial" w:cs="Arial"/>
            <w:b/>
            <w:noProof/>
            <w:sz w:val="22"/>
            <w:szCs w:val="22"/>
            <w:lang w:eastAsia="es-MX"/>
          </w:rPr>
          <w:t xml:space="preserve">. </w:t>
        </w:r>
        <w:r w:rsidRPr="00E66441">
          <w:rPr>
            <w:rFonts w:ascii="Arial" w:hAnsi="Arial" w:cs="Arial"/>
            <w:noProof/>
            <w:sz w:val="22"/>
            <w:szCs w:val="22"/>
            <w:lang w:eastAsia="es-MX"/>
          </w:rPr>
          <w:t>Coordinación Financiera.</w:t>
        </w:r>
      </w:p>
      <w:p w:rsidR="002054B1" w:rsidRPr="00F24FB8" w:rsidRDefault="00A51B23">
        <w:pPr>
          <w:pStyle w:val="Piedepgina"/>
          <w:jc w:val="center"/>
          <w:rPr>
            <w:rFonts w:asciiTheme="minorHAnsi" w:hAnsiTheme="minorHAnsi"/>
          </w:rPr>
        </w:pPr>
        <w:r w:rsidRPr="00F24FB8">
          <w:rPr>
            <w:rFonts w:asciiTheme="minorHAnsi" w:hAnsiTheme="minorHAnsi"/>
          </w:rPr>
          <w:fldChar w:fldCharType="begin"/>
        </w:r>
        <w:r w:rsidR="002054B1" w:rsidRPr="00F24FB8">
          <w:rPr>
            <w:rFonts w:asciiTheme="minorHAnsi" w:hAnsiTheme="minorHAnsi"/>
          </w:rPr>
          <w:instrText xml:space="preserve"> PAGE   \* MERGEFORMAT </w:instrText>
        </w:r>
        <w:r w:rsidRPr="00F24FB8">
          <w:rPr>
            <w:rFonts w:asciiTheme="minorHAnsi" w:hAnsiTheme="minorHAnsi"/>
          </w:rPr>
          <w:fldChar w:fldCharType="separate"/>
        </w:r>
        <w:r w:rsidR="00455829">
          <w:rPr>
            <w:rFonts w:asciiTheme="minorHAnsi" w:hAnsiTheme="minorHAnsi"/>
            <w:noProof/>
          </w:rPr>
          <w:t>16</w:t>
        </w:r>
        <w:r w:rsidRPr="00F24FB8">
          <w:rPr>
            <w:rFonts w:asciiTheme="minorHAnsi" w:hAnsiTheme="minorHAns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56896"/>
      <w:docPartObj>
        <w:docPartGallery w:val="Page Numbers (Bottom of Page)"/>
        <w:docPartUnique/>
      </w:docPartObj>
    </w:sdtPr>
    <w:sdtEndPr/>
    <w:sdtContent>
      <w:p w:rsidR="002054B1" w:rsidRDefault="002054B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2054B1" w:rsidRDefault="002054B1" w:rsidP="00EA0832">
        <w:pPr>
          <w:spacing w:line="360" w:lineRule="auto"/>
          <w:ind w:right="-94"/>
          <w:jc w:val="right"/>
          <w:rPr>
            <w:rFonts w:ascii="Arial" w:hAnsi="Arial" w:cs="Arial"/>
            <w:noProof/>
            <w:sz w:val="22"/>
            <w:szCs w:val="22"/>
            <w:lang w:eastAsia="es-MX"/>
          </w:rPr>
        </w:pPr>
        <w:r w:rsidRPr="00E66441">
          <w:rPr>
            <w:rFonts w:ascii="Arial" w:hAnsi="Arial" w:cs="Arial"/>
            <w:b/>
            <w:noProof/>
            <w:sz w:val="22"/>
            <w:szCs w:val="22"/>
            <w:lang w:eastAsia="es-MX"/>
          </w:rPr>
          <w:t>SECRETAR</w:t>
        </w:r>
        <w:r>
          <w:rPr>
            <w:rFonts w:ascii="Arial" w:hAnsi="Arial" w:cs="Arial"/>
            <w:b/>
            <w:noProof/>
            <w:sz w:val="22"/>
            <w:szCs w:val="22"/>
            <w:lang w:eastAsia="es-MX"/>
          </w:rPr>
          <w:t>Í</w:t>
        </w:r>
        <w:r w:rsidRPr="00E66441">
          <w:rPr>
            <w:rFonts w:ascii="Arial" w:hAnsi="Arial" w:cs="Arial"/>
            <w:b/>
            <w:noProof/>
            <w:sz w:val="22"/>
            <w:szCs w:val="22"/>
            <w:lang w:eastAsia="es-MX"/>
          </w:rPr>
          <w:t xml:space="preserve">A ADMINISTRATIVA. </w:t>
        </w:r>
        <w:r w:rsidRPr="00E66441">
          <w:rPr>
            <w:rFonts w:ascii="Arial" w:hAnsi="Arial" w:cs="Arial"/>
            <w:noProof/>
            <w:sz w:val="22"/>
            <w:szCs w:val="22"/>
            <w:lang w:eastAsia="es-MX"/>
          </w:rPr>
          <w:t>Coordinación Financiera.</w:t>
        </w:r>
      </w:p>
      <w:p w:rsidR="002054B1" w:rsidRPr="00EA0832" w:rsidRDefault="00C870BF" w:rsidP="00EA0832">
        <w:pPr>
          <w:spacing w:line="360" w:lineRule="auto"/>
          <w:ind w:right="-94"/>
          <w:jc w:val="right"/>
          <w:rPr>
            <w:rFonts w:ascii="Arial" w:hAnsi="Arial" w:cs="Arial"/>
            <w:noProof/>
            <w:sz w:val="22"/>
            <w:szCs w:val="22"/>
            <w:lang w:eastAsia="es-MX"/>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1731"/>
      <w:docPartObj>
        <w:docPartGallery w:val="Page Numbers (Bottom of Page)"/>
        <w:docPartUnique/>
      </w:docPartObj>
    </w:sdtPr>
    <w:sdtEndPr/>
    <w:sdtContent>
      <w:p w:rsidR="002054B1" w:rsidRDefault="002054B1"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2054B1" w:rsidRPr="00E66441" w:rsidRDefault="002054B1" w:rsidP="00E66441">
        <w:pPr>
          <w:spacing w:line="360" w:lineRule="auto"/>
          <w:ind w:right="-94"/>
          <w:jc w:val="right"/>
          <w:rPr>
            <w:rFonts w:ascii="Arial" w:hAnsi="Arial" w:cs="Arial"/>
            <w:noProof/>
            <w:sz w:val="22"/>
            <w:szCs w:val="22"/>
            <w:lang w:eastAsia="es-MX"/>
          </w:rPr>
        </w:pPr>
        <w:r w:rsidRPr="00E66441">
          <w:rPr>
            <w:rFonts w:ascii="Arial" w:hAnsi="Arial" w:cs="Arial"/>
            <w:b/>
            <w:noProof/>
            <w:sz w:val="22"/>
            <w:szCs w:val="22"/>
            <w:lang w:eastAsia="es-MX"/>
          </w:rPr>
          <w:t>SECRETAR</w:t>
        </w:r>
        <w:r>
          <w:rPr>
            <w:rFonts w:ascii="Arial" w:hAnsi="Arial" w:cs="Arial"/>
            <w:b/>
            <w:noProof/>
            <w:sz w:val="22"/>
            <w:szCs w:val="22"/>
            <w:lang w:eastAsia="es-MX"/>
          </w:rPr>
          <w:t>Í</w:t>
        </w:r>
        <w:r w:rsidRPr="00E66441">
          <w:rPr>
            <w:rFonts w:ascii="Arial" w:hAnsi="Arial" w:cs="Arial"/>
            <w:b/>
            <w:noProof/>
            <w:sz w:val="22"/>
            <w:szCs w:val="22"/>
            <w:lang w:eastAsia="es-MX"/>
          </w:rPr>
          <w:t xml:space="preserve">A ADMINISTRATIVA. </w:t>
        </w:r>
        <w:r w:rsidRPr="00E66441">
          <w:rPr>
            <w:rFonts w:ascii="Arial" w:hAnsi="Arial" w:cs="Arial"/>
            <w:noProof/>
            <w:sz w:val="22"/>
            <w:szCs w:val="22"/>
            <w:lang w:eastAsia="es-MX"/>
          </w:rPr>
          <w:t>Coordinación Financiera.</w:t>
        </w:r>
      </w:p>
      <w:p w:rsidR="002054B1" w:rsidRPr="00304631" w:rsidRDefault="002054B1" w:rsidP="00AF3FBE">
        <w:pPr>
          <w:spacing w:line="360" w:lineRule="auto"/>
          <w:ind w:right="-94"/>
          <w:jc w:val="center"/>
          <w:rPr>
            <w:rFonts w:ascii="Arial" w:hAnsi="Arial" w:cs="Arial"/>
            <w:b/>
            <w:noProof/>
            <w:lang w:eastAsia="es-MX"/>
          </w:rPr>
        </w:pPr>
        <w:r w:rsidRPr="00653BD2">
          <w:rPr>
            <w:rFonts w:asciiTheme="majorHAnsi" w:hAnsiTheme="majorHAnsi" w:cs="Arial"/>
            <w:noProof/>
            <w:lang w:eastAsia="es-MX"/>
          </w:rPr>
          <w:t>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BF" w:rsidRDefault="00C870BF" w:rsidP="008712CC">
      <w:r>
        <w:separator/>
      </w:r>
    </w:p>
  </w:footnote>
  <w:footnote w:type="continuationSeparator" w:id="0">
    <w:p w:rsidR="00C870BF" w:rsidRDefault="00C870BF" w:rsidP="008712CC">
      <w:r>
        <w:continuationSeparator/>
      </w:r>
    </w:p>
  </w:footnote>
  <w:footnote w:id="1">
    <w:p w:rsidR="002054B1" w:rsidRPr="001F559B" w:rsidRDefault="002054B1">
      <w:pPr>
        <w:pStyle w:val="Textonotapie"/>
      </w:pPr>
      <w:r w:rsidRPr="00F45D66">
        <w:rPr>
          <w:rStyle w:val="Refdenotaalpie"/>
          <w:rFonts w:ascii="Arial" w:hAnsi="Arial" w:cs="Arial"/>
          <w:b/>
          <w:sz w:val="22"/>
          <w:szCs w:val="28"/>
          <w:lang w:val="es-ES"/>
        </w:rPr>
        <w:footnoteRef/>
      </w:r>
      <w:r>
        <w:t xml:space="preserve"> </w:t>
      </w:r>
      <w:r w:rsidRPr="001F559B">
        <w:rPr>
          <w:rFonts w:ascii="Arial" w:hAnsi="Arial" w:cs="Arial"/>
        </w:rPr>
        <w:t xml:space="preserve">Fuente: </w:t>
      </w:r>
      <w:r>
        <w:rPr>
          <w:rFonts w:ascii="Arial" w:hAnsi="Arial" w:cs="Arial"/>
        </w:rPr>
        <w:t xml:space="preserve">Apéndice C de la </w:t>
      </w:r>
      <w:r w:rsidRPr="001F559B">
        <w:rPr>
          <w:rFonts w:ascii="Arial" w:hAnsi="Arial" w:cs="Arial"/>
        </w:rPr>
        <w:t>NIF A-3 de las Normas de Información Financiera (NIF).</w:t>
      </w:r>
    </w:p>
  </w:footnote>
  <w:footnote w:id="2">
    <w:p w:rsidR="002054B1" w:rsidRPr="001F559B" w:rsidRDefault="002054B1" w:rsidP="007A2B7F">
      <w:pPr>
        <w:pStyle w:val="Textonotapie"/>
        <w:rPr>
          <w:rFonts w:ascii="Arial" w:hAnsi="Arial" w:cs="Arial"/>
          <w:lang w:val="es-MX"/>
        </w:rPr>
      </w:pPr>
      <w:r w:rsidRPr="00F45D66">
        <w:rPr>
          <w:rStyle w:val="Refdenotaalpie"/>
          <w:rFonts w:ascii="Arial" w:hAnsi="Arial" w:cs="Arial"/>
          <w:b/>
          <w:sz w:val="22"/>
          <w:szCs w:val="28"/>
          <w:lang w:val="es-ES"/>
        </w:rPr>
        <w:footnoteRef/>
      </w:r>
      <w:r w:rsidRPr="001F559B">
        <w:rPr>
          <w:rFonts w:ascii="Arial" w:hAnsi="Arial" w:cs="Arial"/>
        </w:rPr>
        <w:t xml:space="preserve"> Fuente: </w:t>
      </w:r>
      <w:r>
        <w:rPr>
          <w:rFonts w:ascii="Arial" w:hAnsi="Arial" w:cs="Arial"/>
        </w:rPr>
        <w:t xml:space="preserve">Apéndice C de la </w:t>
      </w:r>
      <w:r w:rsidRPr="001F559B">
        <w:rPr>
          <w:rFonts w:ascii="Arial" w:hAnsi="Arial" w:cs="Arial"/>
        </w:rPr>
        <w:t>NIF A-3 de las Normas de Información Financiera (NIF).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4B1" w:rsidRDefault="005210AD">
    <w:pPr>
      <w:pStyle w:val="Encabezado"/>
    </w:pPr>
    <w:r>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2590800</wp:posOffset>
              </wp:positionH>
              <wp:positionV relativeFrom="paragraph">
                <wp:posOffset>138430</wp:posOffset>
              </wp:positionV>
              <wp:extent cx="3657600" cy="64770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2054B1" w:rsidRPr="00F11C37" w:rsidRDefault="002054B1" w:rsidP="00AD3709">
                          <w:pPr>
                            <w:ind w:right="-544"/>
                            <w:jc w:val="right"/>
                            <w:rPr>
                              <w:rFonts w:ascii="Arial" w:hAnsi="Arial" w:cs="Arial"/>
                            </w:rPr>
                          </w:pPr>
                        </w:p>
                        <w:p w:rsidR="002054B1" w:rsidRPr="00204AB9" w:rsidRDefault="002054B1" w:rsidP="00F24FB8">
                          <w:pPr>
                            <w:jc w:val="right"/>
                            <w:rPr>
                              <w:rFonts w:ascii="Arial" w:hAnsi="Arial" w:cs="Arial"/>
                            </w:rPr>
                          </w:pPr>
                          <w:r>
                            <w:rPr>
                              <w:rFonts w:ascii="Arial" w:hAnsi="Arial" w:cs="Arial"/>
                            </w:rPr>
                            <w:t>Lineamientos para la elaboración y emisión</w:t>
                          </w:r>
                          <w:r>
                            <w:rPr>
                              <w:rFonts w:ascii="Arial" w:hAnsi="Arial" w:cs="Arial"/>
                            </w:rPr>
                            <w:br/>
                            <w:t>del dictamen resolutivo financiero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margin-left:204pt;margin-top:10.9pt;width:4in;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" filled="f" stroked="f">
              <v:path arrowok="t"/>
              <v:textbox>
                <w:txbxContent>
                  <w:p w:rsidR="002054B1" w:rsidRPr="00F11C37" w:rsidRDefault="002054B1" w:rsidP="00AD3709">
                    <w:pPr>
                      <w:ind w:right="-544"/>
                      <w:jc w:val="right"/>
                      <w:rPr>
                        <w:rFonts w:ascii="Arial" w:hAnsi="Arial" w:cs="Arial"/>
                      </w:rPr>
                    </w:pPr>
                  </w:p>
                  <w:p w:rsidR="002054B1" w:rsidRPr="00204AB9" w:rsidRDefault="002054B1" w:rsidP="00F24FB8">
                    <w:pPr>
                      <w:jc w:val="right"/>
                      <w:rPr>
                        <w:rFonts w:ascii="Arial" w:hAnsi="Arial" w:cs="Arial"/>
                      </w:rPr>
                    </w:pPr>
                    <w:r>
                      <w:rPr>
                        <w:rFonts w:ascii="Arial" w:hAnsi="Arial" w:cs="Arial"/>
                      </w:rPr>
                      <w:t>Lineamientos para la elaboración y emisión</w:t>
                    </w:r>
                    <w:r>
                      <w:rPr>
                        <w:rFonts w:ascii="Arial" w:hAnsi="Arial" w:cs="Arial"/>
                      </w:rPr>
                      <w:br/>
                      <w:t>del dictamen resolutivo financiero</w:t>
                    </w:r>
                  </w:p>
                </w:txbxContent>
              </v:textbox>
            </v:shape>
          </w:pict>
        </mc:Fallback>
      </mc:AlternateContent>
    </w:r>
    <w:r w:rsidR="002054B1" w:rsidRPr="007E79B3">
      <w:rPr>
        <w:noProof/>
        <w:lang w:val="es-MX" w:eastAsia="es-MX"/>
      </w:rPr>
      <w:drawing>
        <wp:inline distT="0" distB="0" distL="0" distR="0">
          <wp:extent cx="959146" cy="831826"/>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srcRect/>
                  <a:stretch>
                    <a:fillRect/>
                  </a:stretch>
                </pic:blipFill>
                <pic:spPr bwMode="auto">
                  <a:xfrm>
                    <a:off x="0" y="0"/>
                    <a:ext cx="965857" cy="837647"/>
                  </a:xfrm>
                  <a:prstGeom prst="rect">
                    <a:avLst/>
                  </a:prstGeom>
                  <a:noFill/>
                  <a:ln w="9525">
                    <a:noFill/>
                    <a:miter lim="800000"/>
                    <a:headEnd/>
                    <a:tailEnd/>
                  </a:ln>
                </pic:spPr>
              </pic:pic>
            </a:graphicData>
          </a:graphic>
        </wp:inline>
      </w:drawing>
    </w:r>
  </w:p>
  <w:p w:rsidR="002054B1" w:rsidRDefault="002054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247"/>
    <w:multiLevelType w:val="hybridMultilevel"/>
    <w:tmpl w:val="68C6CE30"/>
    <w:lvl w:ilvl="0" w:tplc="B624F360">
      <w:start w:val="1"/>
      <w:numFmt w:val="decimal"/>
      <w:lvlText w:val="4.%1."/>
      <w:lvlJc w:val="left"/>
      <w:pPr>
        <w:ind w:left="1069" w:hanging="360"/>
      </w:pPr>
      <w:rPr>
        <w:rFonts w:hint="default"/>
        <w:b/>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99A0B78"/>
    <w:multiLevelType w:val="hybridMultilevel"/>
    <w:tmpl w:val="2B04BA58"/>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080A0013">
      <w:start w:val="1"/>
      <w:numFmt w:val="upperRoman"/>
      <w:lvlText w:val="%4."/>
      <w:lvlJc w:val="righ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125327BD"/>
    <w:multiLevelType w:val="hybridMultilevel"/>
    <w:tmpl w:val="4F480722"/>
    <w:lvl w:ilvl="0" w:tplc="0C0A0017">
      <w:start w:val="1"/>
      <w:numFmt w:val="lowerLetter"/>
      <w:lvlText w:val="%1)"/>
      <w:lvlJc w:val="left"/>
      <w:pPr>
        <w:tabs>
          <w:tab w:val="num" w:pos="4194"/>
        </w:tabs>
        <w:ind w:left="419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517B2A"/>
    <w:multiLevelType w:val="hybridMultilevel"/>
    <w:tmpl w:val="925C4E50"/>
    <w:lvl w:ilvl="0" w:tplc="6CB034BC">
      <w:start w:val="1"/>
      <w:numFmt w:val="decimal"/>
      <w:lvlText w:val="%1. "/>
      <w:lvlJc w:val="left"/>
      <w:pPr>
        <w:tabs>
          <w:tab w:val="num" w:pos="2214"/>
        </w:tabs>
        <w:ind w:left="2214" w:hanging="360"/>
      </w:pPr>
      <w:rPr>
        <w:rFonts w:hint="default"/>
        <w:b/>
        <w:color w:val="auto"/>
      </w:rPr>
    </w:lvl>
    <w:lvl w:ilvl="1" w:tplc="133C2684">
      <w:start w:val="1"/>
      <w:numFmt w:val="decimal"/>
      <w:lvlText w:val="%2. "/>
      <w:lvlJc w:val="right"/>
      <w:pPr>
        <w:tabs>
          <w:tab w:val="num" w:pos="4194"/>
        </w:tabs>
        <w:ind w:left="4194" w:hanging="360"/>
      </w:pPr>
      <w:rPr>
        <w:rFonts w:hint="default"/>
        <w:b/>
        <w:i w:val="0"/>
      </w:rPr>
    </w:lvl>
    <w:lvl w:ilvl="2" w:tplc="0C0A001B">
      <w:start w:val="1"/>
      <w:numFmt w:val="lowerRoman"/>
      <w:lvlText w:val="%3."/>
      <w:lvlJc w:val="right"/>
      <w:pPr>
        <w:tabs>
          <w:tab w:val="num" w:pos="4914"/>
        </w:tabs>
        <w:ind w:left="4914" w:hanging="180"/>
      </w:pPr>
    </w:lvl>
    <w:lvl w:ilvl="3" w:tplc="0C0A000F" w:tentative="1">
      <w:start w:val="1"/>
      <w:numFmt w:val="decimal"/>
      <w:lvlText w:val="%4."/>
      <w:lvlJc w:val="left"/>
      <w:pPr>
        <w:tabs>
          <w:tab w:val="num" w:pos="5634"/>
        </w:tabs>
        <w:ind w:left="5634" w:hanging="360"/>
      </w:pPr>
    </w:lvl>
    <w:lvl w:ilvl="4" w:tplc="0C0A0019" w:tentative="1">
      <w:start w:val="1"/>
      <w:numFmt w:val="lowerLetter"/>
      <w:lvlText w:val="%5."/>
      <w:lvlJc w:val="left"/>
      <w:pPr>
        <w:tabs>
          <w:tab w:val="num" w:pos="6354"/>
        </w:tabs>
        <w:ind w:left="6354" w:hanging="360"/>
      </w:pPr>
    </w:lvl>
    <w:lvl w:ilvl="5" w:tplc="0C0A001B" w:tentative="1">
      <w:start w:val="1"/>
      <w:numFmt w:val="lowerRoman"/>
      <w:lvlText w:val="%6."/>
      <w:lvlJc w:val="right"/>
      <w:pPr>
        <w:tabs>
          <w:tab w:val="num" w:pos="7074"/>
        </w:tabs>
        <w:ind w:left="7074" w:hanging="180"/>
      </w:pPr>
    </w:lvl>
    <w:lvl w:ilvl="6" w:tplc="0C0A000F" w:tentative="1">
      <w:start w:val="1"/>
      <w:numFmt w:val="decimal"/>
      <w:lvlText w:val="%7."/>
      <w:lvlJc w:val="left"/>
      <w:pPr>
        <w:tabs>
          <w:tab w:val="num" w:pos="7794"/>
        </w:tabs>
        <w:ind w:left="7794" w:hanging="360"/>
      </w:pPr>
    </w:lvl>
    <w:lvl w:ilvl="7" w:tplc="0C0A0019" w:tentative="1">
      <w:start w:val="1"/>
      <w:numFmt w:val="lowerLetter"/>
      <w:lvlText w:val="%8."/>
      <w:lvlJc w:val="left"/>
      <w:pPr>
        <w:tabs>
          <w:tab w:val="num" w:pos="8514"/>
        </w:tabs>
        <w:ind w:left="8514" w:hanging="360"/>
      </w:pPr>
    </w:lvl>
    <w:lvl w:ilvl="8" w:tplc="0C0A001B" w:tentative="1">
      <w:start w:val="1"/>
      <w:numFmt w:val="lowerRoman"/>
      <w:lvlText w:val="%9."/>
      <w:lvlJc w:val="right"/>
      <w:pPr>
        <w:tabs>
          <w:tab w:val="num" w:pos="9234"/>
        </w:tabs>
        <w:ind w:left="9234" w:hanging="180"/>
      </w:pPr>
    </w:lvl>
  </w:abstractNum>
  <w:abstractNum w:abstractNumId="4">
    <w:nsid w:val="1E611C48"/>
    <w:multiLevelType w:val="hybridMultilevel"/>
    <w:tmpl w:val="2068B6F0"/>
    <w:lvl w:ilvl="0" w:tplc="6624F8A2">
      <w:start w:val="1"/>
      <w:numFmt w:val="lowerLetter"/>
      <w:lvlText w:val="%1)"/>
      <w:lvlJc w:val="left"/>
      <w:pPr>
        <w:ind w:left="4194" w:hanging="360"/>
      </w:pPr>
      <w:rPr>
        <w:rFonts w:hint="default"/>
        <w:b/>
        <w:i w:val="0"/>
      </w:rPr>
    </w:lvl>
    <w:lvl w:ilvl="1" w:tplc="0C0A0019" w:tentative="1">
      <w:start w:val="1"/>
      <w:numFmt w:val="lowerLetter"/>
      <w:lvlText w:val="%2."/>
      <w:lvlJc w:val="left"/>
      <w:pPr>
        <w:ind w:left="4914" w:hanging="360"/>
      </w:pPr>
    </w:lvl>
    <w:lvl w:ilvl="2" w:tplc="0C0A001B" w:tentative="1">
      <w:start w:val="1"/>
      <w:numFmt w:val="lowerRoman"/>
      <w:lvlText w:val="%3."/>
      <w:lvlJc w:val="right"/>
      <w:pPr>
        <w:ind w:left="5634" w:hanging="180"/>
      </w:pPr>
    </w:lvl>
    <w:lvl w:ilvl="3" w:tplc="0C0A000F" w:tentative="1">
      <w:start w:val="1"/>
      <w:numFmt w:val="decimal"/>
      <w:lvlText w:val="%4."/>
      <w:lvlJc w:val="left"/>
      <w:pPr>
        <w:ind w:left="6354" w:hanging="360"/>
      </w:pPr>
    </w:lvl>
    <w:lvl w:ilvl="4" w:tplc="0C0A0019" w:tentative="1">
      <w:start w:val="1"/>
      <w:numFmt w:val="lowerLetter"/>
      <w:lvlText w:val="%5."/>
      <w:lvlJc w:val="left"/>
      <w:pPr>
        <w:ind w:left="7074" w:hanging="360"/>
      </w:pPr>
    </w:lvl>
    <w:lvl w:ilvl="5" w:tplc="0C0A001B" w:tentative="1">
      <w:start w:val="1"/>
      <w:numFmt w:val="lowerRoman"/>
      <w:lvlText w:val="%6."/>
      <w:lvlJc w:val="right"/>
      <w:pPr>
        <w:ind w:left="7794" w:hanging="180"/>
      </w:pPr>
    </w:lvl>
    <w:lvl w:ilvl="6" w:tplc="0C0A000F" w:tentative="1">
      <w:start w:val="1"/>
      <w:numFmt w:val="decimal"/>
      <w:lvlText w:val="%7."/>
      <w:lvlJc w:val="left"/>
      <w:pPr>
        <w:ind w:left="8514" w:hanging="360"/>
      </w:pPr>
    </w:lvl>
    <w:lvl w:ilvl="7" w:tplc="0C0A0019" w:tentative="1">
      <w:start w:val="1"/>
      <w:numFmt w:val="lowerLetter"/>
      <w:lvlText w:val="%8."/>
      <w:lvlJc w:val="left"/>
      <w:pPr>
        <w:ind w:left="9234" w:hanging="360"/>
      </w:pPr>
    </w:lvl>
    <w:lvl w:ilvl="8" w:tplc="0C0A001B" w:tentative="1">
      <w:start w:val="1"/>
      <w:numFmt w:val="lowerRoman"/>
      <w:lvlText w:val="%9."/>
      <w:lvlJc w:val="right"/>
      <w:pPr>
        <w:ind w:left="9954" w:hanging="180"/>
      </w:pPr>
    </w:lvl>
  </w:abstractNum>
  <w:abstractNum w:abstractNumId="5">
    <w:nsid w:val="1FB932F9"/>
    <w:multiLevelType w:val="hybridMultilevel"/>
    <w:tmpl w:val="B2420D10"/>
    <w:lvl w:ilvl="0" w:tplc="080A001B">
      <w:start w:val="1"/>
      <w:numFmt w:val="lowerRoman"/>
      <w:lvlText w:val="%1."/>
      <w:lvlJc w:val="right"/>
      <w:pPr>
        <w:ind w:left="1069" w:hanging="360"/>
      </w:pPr>
      <w:rPr>
        <w:rFonts w:hint="default"/>
        <w:b/>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203A19A1"/>
    <w:multiLevelType w:val="hybridMultilevel"/>
    <w:tmpl w:val="20468A02"/>
    <w:lvl w:ilvl="0" w:tplc="2B68B65A">
      <w:start w:val="1"/>
      <w:numFmt w:val="decimal"/>
      <w:lvlText w:val="6.3.%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1834929"/>
    <w:multiLevelType w:val="hybridMultilevel"/>
    <w:tmpl w:val="141854F2"/>
    <w:lvl w:ilvl="0" w:tplc="133C2684">
      <w:start w:val="1"/>
      <w:numFmt w:val="decimal"/>
      <w:lvlText w:val="%1. "/>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B1526E"/>
    <w:multiLevelType w:val="hybridMultilevel"/>
    <w:tmpl w:val="32EE3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BDC41AD"/>
    <w:multiLevelType w:val="hybridMultilevel"/>
    <w:tmpl w:val="8FEE0FB4"/>
    <w:lvl w:ilvl="0" w:tplc="6CB034BC">
      <w:start w:val="1"/>
      <w:numFmt w:val="decimal"/>
      <w:lvlText w:val="%1. "/>
      <w:lvlJc w:val="left"/>
      <w:pPr>
        <w:tabs>
          <w:tab w:val="num" w:pos="2214"/>
        </w:tabs>
        <w:ind w:left="2214" w:hanging="360"/>
      </w:pPr>
      <w:rPr>
        <w:rFonts w:hint="default"/>
        <w:b/>
        <w:color w:val="auto"/>
      </w:rPr>
    </w:lvl>
    <w:lvl w:ilvl="1" w:tplc="978C5FA2">
      <w:start w:val="1"/>
      <w:numFmt w:val="lowerLetter"/>
      <w:lvlText w:val="%2)"/>
      <w:lvlJc w:val="left"/>
      <w:pPr>
        <w:tabs>
          <w:tab w:val="num" w:pos="4194"/>
        </w:tabs>
        <w:ind w:left="4194" w:hanging="360"/>
      </w:pPr>
      <w:rPr>
        <w:rFonts w:ascii="Calibri" w:hAnsi="Calibri" w:hint="default"/>
        <w:b/>
        <w:i w:val="0"/>
        <w:sz w:val="18"/>
      </w:rPr>
    </w:lvl>
    <w:lvl w:ilvl="2" w:tplc="0C0A001B">
      <w:start w:val="1"/>
      <w:numFmt w:val="lowerRoman"/>
      <w:lvlText w:val="%3."/>
      <w:lvlJc w:val="right"/>
      <w:pPr>
        <w:tabs>
          <w:tab w:val="num" w:pos="4914"/>
        </w:tabs>
        <w:ind w:left="4914" w:hanging="180"/>
      </w:pPr>
    </w:lvl>
    <w:lvl w:ilvl="3" w:tplc="0C0A000F" w:tentative="1">
      <w:start w:val="1"/>
      <w:numFmt w:val="decimal"/>
      <w:lvlText w:val="%4."/>
      <w:lvlJc w:val="left"/>
      <w:pPr>
        <w:tabs>
          <w:tab w:val="num" w:pos="5634"/>
        </w:tabs>
        <w:ind w:left="5634" w:hanging="360"/>
      </w:pPr>
    </w:lvl>
    <w:lvl w:ilvl="4" w:tplc="0C0A0019" w:tentative="1">
      <w:start w:val="1"/>
      <w:numFmt w:val="lowerLetter"/>
      <w:lvlText w:val="%5."/>
      <w:lvlJc w:val="left"/>
      <w:pPr>
        <w:tabs>
          <w:tab w:val="num" w:pos="6354"/>
        </w:tabs>
        <w:ind w:left="6354" w:hanging="360"/>
      </w:pPr>
    </w:lvl>
    <w:lvl w:ilvl="5" w:tplc="0C0A001B" w:tentative="1">
      <w:start w:val="1"/>
      <w:numFmt w:val="lowerRoman"/>
      <w:lvlText w:val="%6."/>
      <w:lvlJc w:val="right"/>
      <w:pPr>
        <w:tabs>
          <w:tab w:val="num" w:pos="7074"/>
        </w:tabs>
        <w:ind w:left="7074" w:hanging="180"/>
      </w:pPr>
    </w:lvl>
    <w:lvl w:ilvl="6" w:tplc="0C0A000F" w:tentative="1">
      <w:start w:val="1"/>
      <w:numFmt w:val="decimal"/>
      <w:lvlText w:val="%7."/>
      <w:lvlJc w:val="left"/>
      <w:pPr>
        <w:tabs>
          <w:tab w:val="num" w:pos="7794"/>
        </w:tabs>
        <w:ind w:left="7794" w:hanging="360"/>
      </w:pPr>
    </w:lvl>
    <w:lvl w:ilvl="7" w:tplc="0C0A0019" w:tentative="1">
      <w:start w:val="1"/>
      <w:numFmt w:val="lowerLetter"/>
      <w:lvlText w:val="%8."/>
      <w:lvlJc w:val="left"/>
      <w:pPr>
        <w:tabs>
          <w:tab w:val="num" w:pos="8514"/>
        </w:tabs>
        <w:ind w:left="8514" w:hanging="360"/>
      </w:pPr>
    </w:lvl>
    <w:lvl w:ilvl="8" w:tplc="0C0A001B" w:tentative="1">
      <w:start w:val="1"/>
      <w:numFmt w:val="lowerRoman"/>
      <w:lvlText w:val="%9."/>
      <w:lvlJc w:val="right"/>
      <w:pPr>
        <w:tabs>
          <w:tab w:val="num" w:pos="9234"/>
        </w:tabs>
        <w:ind w:left="9234" w:hanging="180"/>
      </w:pPr>
    </w:lvl>
  </w:abstractNum>
  <w:abstractNum w:abstractNumId="10">
    <w:nsid w:val="3046265B"/>
    <w:multiLevelType w:val="hybridMultilevel"/>
    <w:tmpl w:val="A7E47300"/>
    <w:lvl w:ilvl="0" w:tplc="6BB6ABEE">
      <w:start w:val="1"/>
      <w:numFmt w:val="decimal"/>
      <w:lvlText w:val="6.%1."/>
      <w:lvlJc w:val="left"/>
      <w:pPr>
        <w:ind w:left="720" w:hanging="360"/>
      </w:pPr>
      <w:rPr>
        <w:rFonts w:hint="default"/>
        <w:b/>
      </w:rPr>
    </w:lvl>
    <w:lvl w:ilvl="1" w:tplc="C8FC0B52">
      <w:start w:val="1"/>
      <w:numFmt w:val="decimal"/>
      <w:lvlText w:val="6.1.%2."/>
      <w:lvlJc w:val="left"/>
      <w:pPr>
        <w:ind w:left="1440" w:hanging="360"/>
      </w:pPr>
      <w:rPr>
        <w:rFonts w:hint="default"/>
        <w:b/>
      </w:rPr>
    </w:lvl>
    <w:lvl w:ilvl="2" w:tplc="4D8A3CE8">
      <w:start w:val="1"/>
      <w:numFmt w:val="lowerLetter"/>
      <w:lvlText w:val="%3)"/>
      <w:lvlJc w:val="left"/>
      <w:pPr>
        <w:ind w:left="2340" w:hanging="36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C04374A"/>
    <w:multiLevelType w:val="hybridMultilevel"/>
    <w:tmpl w:val="AD260656"/>
    <w:lvl w:ilvl="0" w:tplc="08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17560B8"/>
    <w:multiLevelType w:val="hybridMultilevel"/>
    <w:tmpl w:val="5BBA6446"/>
    <w:lvl w:ilvl="0" w:tplc="7EC618A2">
      <w:start w:val="9"/>
      <w:numFmt w:val="decimal"/>
      <w:lvlText w:val="%1."/>
      <w:lvlJc w:val="left"/>
      <w:pPr>
        <w:ind w:left="419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8A130B"/>
    <w:multiLevelType w:val="hybridMultilevel"/>
    <w:tmpl w:val="AD260656"/>
    <w:lvl w:ilvl="0" w:tplc="08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37F2A24"/>
    <w:multiLevelType w:val="hybridMultilevel"/>
    <w:tmpl w:val="5C6E5F06"/>
    <w:lvl w:ilvl="0" w:tplc="A7A27AA4">
      <w:start w:val="1"/>
      <w:numFmt w:val="decimal"/>
      <w:lvlText w:val="7.%1."/>
      <w:lvlJc w:val="left"/>
      <w:pPr>
        <w:ind w:left="720" w:hanging="360"/>
      </w:pPr>
      <w:rPr>
        <w:rFonts w:hint="default"/>
        <w:b/>
      </w:rPr>
    </w:lvl>
    <w:lvl w:ilvl="1" w:tplc="BE5ED656">
      <w:start w:val="1"/>
      <w:numFmt w:val="decimal"/>
      <w:lvlText w:val="4.1.%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3D105A"/>
    <w:multiLevelType w:val="hybridMultilevel"/>
    <w:tmpl w:val="1B1EB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26A6356"/>
    <w:multiLevelType w:val="hybridMultilevel"/>
    <w:tmpl w:val="AD260656"/>
    <w:lvl w:ilvl="0" w:tplc="08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DC23FF"/>
    <w:multiLevelType w:val="hybridMultilevel"/>
    <w:tmpl w:val="61569172"/>
    <w:lvl w:ilvl="0" w:tplc="79E00128">
      <w:start w:val="1"/>
      <w:numFmt w:val="decimal"/>
      <w:lvlText w:val="%1. "/>
      <w:lvlJc w:val="right"/>
      <w:pPr>
        <w:tabs>
          <w:tab w:val="num" w:pos="720"/>
        </w:tabs>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9B68F8"/>
    <w:multiLevelType w:val="hybridMultilevel"/>
    <w:tmpl w:val="8EB65818"/>
    <w:lvl w:ilvl="0" w:tplc="6CB034BC">
      <w:start w:val="1"/>
      <w:numFmt w:val="decimal"/>
      <w:lvlText w:val="%1. "/>
      <w:lvlJc w:val="left"/>
      <w:pPr>
        <w:tabs>
          <w:tab w:val="num" w:pos="2214"/>
        </w:tabs>
        <w:ind w:left="2214" w:hanging="360"/>
      </w:pPr>
      <w:rPr>
        <w:rFonts w:hint="default"/>
        <w:b/>
        <w:color w:val="auto"/>
      </w:rPr>
    </w:lvl>
    <w:lvl w:ilvl="1" w:tplc="7354BA24">
      <w:start w:val="1"/>
      <w:numFmt w:val="lowerLetter"/>
      <w:lvlText w:val="%2)"/>
      <w:lvlJc w:val="left"/>
      <w:pPr>
        <w:tabs>
          <w:tab w:val="num" w:pos="4194"/>
        </w:tabs>
        <w:ind w:left="4194" w:hanging="360"/>
      </w:pPr>
      <w:rPr>
        <w:rFonts w:hint="default"/>
        <w:b/>
        <w:i w:val="0"/>
        <w:sz w:val="24"/>
      </w:rPr>
    </w:lvl>
    <w:lvl w:ilvl="2" w:tplc="0C0A001B">
      <w:start w:val="1"/>
      <w:numFmt w:val="lowerRoman"/>
      <w:lvlText w:val="%3."/>
      <w:lvlJc w:val="right"/>
      <w:pPr>
        <w:tabs>
          <w:tab w:val="num" w:pos="4914"/>
        </w:tabs>
        <w:ind w:left="4914" w:hanging="180"/>
      </w:pPr>
    </w:lvl>
    <w:lvl w:ilvl="3" w:tplc="0C0A000F" w:tentative="1">
      <w:start w:val="1"/>
      <w:numFmt w:val="decimal"/>
      <w:lvlText w:val="%4."/>
      <w:lvlJc w:val="left"/>
      <w:pPr>
        <w:tabs>
          <w:tab w:val="num" w:pos="5634"/>
        </w:tabs>
        <w:ind w:left="5634" w:hanging="360"/>
      </w:pPr>
    </w:lvl>
    <w:lvl w:ilvl="4" w:tplc="0C0A0019" w:tentative="1">
      <w:start w:val="1"/>
      <w:numFmt w:val="lowerLetter"/>
      <w:lvlText w:val="%5."/>
      <w:lvlJc w:val="left"/>
      <w:pPr>
        <w:tabs>
          <w:tab w:val="num" w:pos="6354"/>
        </w:tabs>
        <w:ind w:left="6354" w:hanging="360"/>
      </w:pPr>
    </w:lvl>
    <w:lvl w:ilvl="5" w:tplc="0C0A001B" w:tentative="1">
      <w:start w:val="1"/>
      <w:numFmt w:val="lowerRoman"/>
      <w:lvlText w:val="%6."/>
      <w:lvlJc w:val="right"/>
      <w:pPr>
        <w:tabs>
          <w:tab w:val="num" w:pos="7074"/>
        </w:tabs>
        <w:ind w:left="7074" w:hanging="180"/>
      </w:pPr>
    </w:lvl>
    <w:lvl w:ilvl="6" w:tplc="0C0A000F" w:tentative="1">
      <w:start w:val="1"/>
      <w:numFmt w:val="decimal"/>
      <w:lvlText w:val="%7."/>
      <w:lvlJc w:val="left"/>
      <w:pPr>
        <w:tabs>
          <w:tab w:val="num" w:pos="7794"/>
        </w:tabs>
        <w:ind w:left="7794" w:hanging="360"/>
      </w:pPr>
    </w:lvl>
    <w:lvl w:ilvl="7" w:tplc="0C0A0019" w:tentative="1">
      <w:start w:val="1"/>
      <w:numFmt w:val="lowerLetter"/>
      <w:lvlText w:val="%8."/>
      <w:lvlJc w:val="left"/>
      <w:pPr>
        <w:tabs>
          <w:tab w:val="num" w:pos="8514"/>
        </w:tabs>
        <w:ind w:left="8514" w:hanging="360"/>
      </w:pPr>
    </w:lvl>
    <w:lvl w:ilvl="8" w:tplc="0C0A001B" w:tentative="1">
      <w:start w:val="1"/>
      <w:numFmt w:val="lowerRoman"/>
      <w:lvlText w:val="%9."/>
      <w:lvlJc w:val="right"/>
      <w:pPr>
        <w:tabs>
          <w:tab w:val="num" w:pos="9234"/>
        </w:tabs>
        <w:ind w:left="9234" w:hanging="180"/>
      </w:pPr>
    </w:lvl>
  </w:abstractNum>
  <w:abstractNum w:abstractNumId="19">
    <w:nsid w:val="6D650B53"/>
    <w:multiLevelType w:val="hybridMultilevel"/>
    <w:tmpl w:val="938E283C"/>
    <w:lvl w:ilvl="0" w:tplc="0B68F52E">
      <w:start w:val="1"/>
      <w:numFmt w:val="decimal"/>
      <w:lvlText w:val="6.2.%1."/>
      <w:lvlJc w:val="lef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nsid w:val="7D114A01"/>
    <w:multiLevelType w:val="hybridMultilevel"/>
    <w:tmpl w:val="2068B6F0"/>
    <w:lvl w:ilvl="0" w:tplc="6624F8A2">
      <w:start w:val="1"/>
      <w:numFmt w:val="lowerLetter"/>
      <w:lvlText w:val="%1)"/>
      <w:lvlJc w:val="left"/>
      <w:pPr>
        <w:ind w:left="4194" w:hanging="360"/>
      </w:pPr>
      <w:rPr>
        <w:rFonts w:hint="default"/>
        <w:b/>
        <w:i w:val="0"/>
      </w:rPr>
    </w:lvl>
    <w:lvl w:ilvl="1" w:tplc="0C0A0019" w:tentative="1">
      <w:start w:val="1"/>
      <w:numFmt w:val="lowerLetter"/>
      <w:lvlText w:val="%2."/>
      <w:lvlJc w:val="left"/>
      <w:pPr>
        <w:ind w:left="4914" w:hanging="360"/>
      </w:pPr>
    </w:lvl>
    <w:lvl w:ilvl="2" w:tplc="0C0A001B" w:tentative="1">
      <w:start w:val="1"/>
      <w:numFmt w:val="lowerRoman"/>
      <w:lvlText w:val="%3."/>
      <w:lvlJc w:val="right"/>
      <w:pPr>
        <w:ind w:left="5634" w:hanging="180"/>
      </w:pPr>
    </w:lvl>
    <w:lvl w:ilvl="3" w:tplc="0C0A000F" w:tentative="1">
      <w:start w:val="1"/>
      <w:numFmt w:val="decimal"/>
      <w:lvlText w:val="%4."/>
      <w:lvlJc w:val="left"/>
      <w:pPr>
        <w:ind w:left="6354" w:hanging="360"/>
      </w:pPr>
    </w:lvl>
    <w:lvl w:ilvl="4" w:tplc="0C0A0019" w:tentative="1">
      <w:start w:val="1"/>
      <w:numFmt w:val="lowerLetter"/>
      <w:lvlText w:val="%5."/>
      <w:lvlJc w:val="left"/>
      <w:pPr>
        <w:ind w:left="7074" w:hanging="360"/>
      </w:pPr>
    </w:lvl>
    <w:lvl w:ilvl="5" w:tplc="0C0A001B" w:tentative="1">
      <w:start w:val="1"/>
      <w:numFmt w:val="lowerRoman"/>
      <w:lvlText w:val="%6."/>
      <w:lvlJc w:val="right"/>
      <w:pPr>
        <w:ind w:left="7794" w:hanging="180"/>
      </w:pPr>
    </w:lvl>
    <w:lvl w:ilvl="6" w:tplc="0C0A000F" w:tentative="1">
      <w:start w:val="1"/>
      <w:numFmt w:val="decimal"/>
      <w:lvlText w:val="%7."/>
      <w:lvlJc w:val="left"/>
      <w:pPr>
        <w:ind w:left="8514" w:hanging="360"/>
      </w:pPr>
    </w:lvl>
    <w:lvl w:ilvl="7" w:tplc="0C0A0019" w:tentative="1">
      <w:start w:val="1"/>
      <w:numFmt w:val="lowerLetter"/>
      <w:lvlText w:val="%8."/>
      <w:lvlJc w:val="left"/>
      <w:pPr>
        <w:ind w:left="9234" w:hanging="360"/>
      </w:pPr>
    </w:lvl>
    <w:lvl w:ilvl="8" w:tplc="0C0A001B" w:tentative="1">
      <w:start w:val="1"/>
      <w:numFmt w:val="lowerRoman"/>
      <w:lvlText w:val="%9."/>
      <w:lvlJc w:val="right"/>
      <w:pPr>
        <w:ind w:left="9954" w:hanging="180"/>
      </w:pPr>
    </w:lvl>
  </w:abstractNum>
  <w:num w:numId="1">
    <w:abstractNumId w:val="15"/>
  </w:num>
  <w:num w:numId="2">
    <w:abstractNumId w:val="3"/>
  </w:num>
  <w:num w:numId="3">
    <w:abstractNumId w:val="5"/>
  </w:num>
  <w:num w:numId="4">
    <w:abstractNumId w:val="10"/>
  </w:num>
  <w:num w:numId="5">
    <w:abstractNumId w:val="19"/>
  </w:num>
  <w:num w:numId="6">
    <w:abstractNumId w:val="6"/>
  </w:num>
  <w:num w:numId="7">
    <w:abstractNumId w:val="2"/>
  </w:num>
  <w:num w:numId="8">
    <w:abstractNumId w:val="14"/>
  </w:num>
  <w:num w:numId="9">
    <w:abstractNumId w:val="4"/>
  </w:num>
  <w:num w:numId="10">
    <w:abstractNumId w:val="20"/>
  </w:num>
  <w:num w:numId="11">
    <w:abstractNumId w:val="1"/>
  </w:num>
  <w:num w:numId="12">
    <w:abstractNumId w:val="8"/>
  </w:num>
  <w:num w:numId="13">
    <w:abstractNumId w:val="7"/>
  </w:num>
  <w:num w:numId="14">
    <w:abstractNumId w:val="17"/>
  </w:num>
  <w:num w:numId="15">
    <w:abstractNumId w:val="12"/>
  </w:num>
  <w:num w:numId="16">
    <w:abstractNumId w:val="0"/>
  </w:num>
  <w:num w:numId="17">
    <w:abstractNumId w:val="9"/>
  </w:num>
  <w:num w:numId="18">
    <w:abstractNumId w:val="18"/>
  </w:num>
  <w:num w:numId="19">
    <w:abstractNumId w:val="11"/>
  </w:num>
  <w:num w:numId="20">
    <w:abstractNumId w:val="16"/>
  </w:num>
  <w:num w:numId="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defaultTabStop w:val="0"/>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CC"/>
    <w:rsid w:val="00002421"/>
    <w:rsid w:val="00002B1D"/>
    <w:rsid w:val="00003864"/>
    <w:rsid w:val="00004210"/>
    <w:rsid w:val="00005A65"/>
    <w:rsid w:val="000065A0"/>
    <w:rsid w:val="00007C3C"/>
    <w:rsid w:val="00010A4B"/>
    <w:rsid w:val="00011584"/>
    <w:rsid w:val="00013BA5"/>
    <w:rsid w:val="00014EA8"/>
    <w:rsid w:val="00015519"/>
    <w:rsid w:val="00015E59"/>
    <w:rsid w:val="00015EB4"/>
    <w:rsid w:val="00016C34"/>
    <w:rsid w:val="0002038E"/>
    <w:rsid w:val="000215D6"/>
    <w:rsid w:val="00021BC3"/>
    <w:rsid w:val="00023B3C"/>
    <w:rsid w:val="0003006C"/>
    <w:rsid w:val="0003103B"/>
    <w:rsid w:val="0003201C"/>
    <w:rsid w:val="0003405C"/>
    <w:rsid w:val="000340E2"/>
    <w:rsid w:val="00034FC6"/>
    <w:rsid w:val="00036319"/>
    <w:rsid w:val="000364F7"/>
    <w:rsid w:val="00036E0E"/>
    <w:rsid w:val="00040F95"/>
    <w:rsid w:val="00041DAC"/>
    <w:rsid w:val="00042AD5"/>
    <w:rsid w:val="000441FE"/>
    <w:rsid w:val="00044342"/>
    <w:rsid w:val="00045232"/>
    <w:rsid w:val="0004573F"/>
    <w:rsid w:val="00046939"/>
    <w:rsid w:val="00050981"/>
    <w:rsid w:val="00051A8A"/>
    <w:rsid w:val="000527ED"/>
    <w:rsid w:val="000548CC"/>
    <w:rsid w:val="00054F48"/>
    <w:rsid w:val="0005558C"/>
    <w:rsid w:val="00055793"/>
    <w:rsid w:val="00057B96"/>
    <w:rsid w:val="00060B2F"/>
    <w:rsid w:val="00061E4B"/>
    <w:rsid w:val="000635DE"/>
    <w:rsid w:val="00065745"/>
    <w:rsid w:val="0006669C"/>
    <w:rsid w:val="000720A6"/>
    <w:rsid w:val="000721DE"/>
    <w:rsid w:val="00072AB8"/>
    <w:rsid w:val="000739EC"/>
    <w:rsid w:val="000740D8"/>
    <w:rsid w:val="00076B13"/>
    <w:rsid w:val="00077CFA"/>
    <w:rsid w:val="00080A76"/>
    <w:rsid w:val="000825A3"/>
    <w:rsid w:val="00082D35"/>
    <w:rsid w:val="000847EF"/>
    <w:rsid w:val="00085FD3"/>
    <w:rsid w:val="00086CEB"/>
    <w:rsid w:val="00087F68"/>
    <w:rsid w:val="000919EC"/>
    <w:rsid w:val="00092A9F"/>
    <w:rsid w:val="00092AA1"/>
    <w:rsid w:val="000938FC"/>
    <w:rsid w:val="0009455C"/>
    <w:rsid w:val="00094FB2"/>
    <w:rsid w:val="00095E2F"/>
    <w:rsid w:val="000962CB"/>
    <w:rsid w:val="00096B8D"/>
    <w:rsid w:val="00097174"/>
    <w:rsid w:val="000A0FC8"/>
    <w:rsid w:val="000A175F"/>
    <w:rsid w:val="000A178A"/>
    <w:rsid w:val="000A30AE"/>
    <w:rsid w:val="000A3983"/>
    <w:rsid w:val="000A4220"/>
    <w:rsid w:val="000A5E01"/>
    <w:rsid w:val="000B01CC"/>
    <w:rsid w:val="000B1038"/>
    <w:rsid w:val="000B2D3A"/>
    <w:rsid w:val="000B3B88"/>
    <w:rsid w:val="000B3DCB"/>
    <w:rsid w:val="000B4222"/>
    <w:rsid w:val="000B624D"/>
    <w:rsid w:val="000B7285"/>
    <w:rsid w:val="000B7FA2"/>
    <w:rsid w:val="000C0CCB"/>
    <w:rsid w:val="000C25D3"/>
    <w:rsid w:val="000C3D59"/>
    <w:rsid w:val="000C60CD"/>
    <w:rsid w:val="000C64EB"/>
    <w:rsid w:val="000C72BB"/>
    <w:rsid w:val="000C7367"/>
    <w:rsid w:val="000C785E"/>
    <w:rsid w:val="000C7BA4"/>
    <w:rsid w:val="000C7EFE"/>
    <w:rsid w:val="000D0BE8"/>
    <w:rsid w:val="000D197F"/>
    <w:rsid w:val="000D2433"/>
    <w:rsid w:val="000D3071"/>
    <w:rsid w:val="000D3229"/>
    <w:rsid w:val="000D37E9"/>
    <w:rsid w:val="000D6172"/>
    <w:rsid w:val="000D62C7"/>
    <w:rsid w:val="000D6929"/>
    <w:rsid w:val="000D6B9F"/>
    <w:rsid w:val="000D7339"/>
    <w:rsid w:val="000E002C"/>
    <w:rsid w:val="000E1185"/>
    <w:rsid w:val="000E1CA5"/>
    <w:rsid w:val="000E2916"/>
    <w:rsid w:val="000E3297"/>
    <w:rsid w:val="000E3C66"/>
    <w:rsid w:val="000E4873"/>
    <w:rsid w:val="000E4F7B"/>
    <w:rsid w:val="000E54DB"/>
    <w:rsid w:val="000E5834"/>
    <w:rsid w:val="000E69F0"/>
    <w:rsid w:val="000E71E9"/>
    <w:rsid w:val="000F0308"/>
    <w:rsid w:val="000F082B"/>
    <w:rsid w:val="000F1CCE"/>
    <w:rsid w:val="000F35CA"/>
    <w:rsid w:val="000F3E68"/>
    <w:rsid w:val="000F410A"/>
    <w:rsid w:val="000F6DB7"/>
    <w:rsid w:val="000F6EAE"/>
    <w:rsid w:val="000F7E69"/>
    <w:rsid w:val="00100711"/>
    <w:rsid w:val="00101AD0"/>
    <w:rsid w:val="001023F7"/>
    <w:rsid w:val="00103996"/>
    <w:rsid w:val="001045BB"/>
    <w:rsid w:val="00106BCD"/>
    <w:rsid w:val="00107126"/>
    <w:rsid w:val="00111906"/>
    <w:rsid w:val="001123A2"/>
    <w:rsid w:val="00113EE6"/>
    <w:rsid w:val="001148A9"/>
    <w:rsid w:val="00120087"/>
    <w:rsid w:val="00120AA1"/>
    <w:rsid w:val="00121873"/>
    <w:rsid w:val="0012204E"/>
    <w:rsid w:val="00122EE9"/>
    <w:rsid w:val="00123085"/>
    <w:rsid w:val="001231DD"/>
    <w:rsid w:val="00123A5A"/>
    <w:rsid w:val="00123E2E"/>
    <w:rsid w:val="00123E3C"/>
    <w:rsid w:val="0012441C"/>
    <w:rsid w:val="0012520F"/>
    <w:rsid w:val="00125599"/>
    <w:rsid w:val="00126C8E"/>
    <w:rsid w:val="0012713A"/>
    <w:rsid w:val="0013182A"/>
    <w:rsid w:val="00131945"/>
    <w:rsid w:val="00131B18"/>
    <w:rsid w:val="00131D17"/>
    <w:rsid w:val="001339A9"/>
    <w:rsid w:val="001343A3"/>
    <w:rsid w:val="001344B3"/>
    <w:rsid w:val="00134570"/>
    <w:rsid w:val="00136A9D"/>
    <w:rsid w:val="00142F1F"/>
    <w:rsid w:val="001468AF"/>
    <w:rsid w:val="001519C4"/>
    <w:rsid w:val="00151CB2"/>
    <w:rsid w:val="00151DCB"/>
    <w:rsid w:val="00151EA9"/>
    <w:rsid w:val="00152884"/>
    <w:rsid w:val="00154F4D"/>
    <w:rsid w:val="001557EE"/>
    <w:rsid w:val="00155E83"/>
    <w:rsid w:val="00156ED2"/>
    <w:rsid w:val="00157CB1"/>
    <w:rsid w:val="00160F28"/>
    <w:rsid w:val="0016144D"/>
    <w:rsid w:val="00164E04"/>
    <w:rsid w:val="001656CD"/>
    <w:rsid w:val="001666D3"/>
    <w:rsid w:val="001669D7"/>
    <w:rsid w:val="00166CBB"/>
    <w:rsid w:val="00167721"/>
    <w:rsid w:val="001678F5"/>
    <w:rsid w:val="001700FA"/>
    <w:rsid w:val="001702A8"/>
    <w:rsid w:val="001718FD"/>
    <w:rsid w:val="001721D6"/>
    <w:rsid w:val="00172385"/>
    <w:rsid w:val="00174550"/>
    <w:rsid w:val="00174E46"/>
    <w:rsid w:val="0017552D"/>
    <w:rsid w:val="0017637C"/>
    <w:rsid w:val="0017672F"/>
    <w:rsid w:val="00177D10"/>
    <w:rsid w:val="00180B78"/>
    <w:rsid w:val="00181CAB"/>
    <w:rsid w:val="001821AE"/>
    <w:rsid w:val="00182C38"/>
    <w:rsid w:val="00182C8F"/>
    <w:rsid w:val="00183ABE"/>
    <w:rsid w:val="001843AF"/>
    <w:rsid w:val="00186B32"/>
    <w:rsid w:val="001916F9"/>
    <w:rsid w:val="001923A8"/>
    <w:rsid w:val="00192663"/>
    <w:rsid w:val="00193704"/>
    <w:rsid w:val="00193996"/>
    <w:rsid w:val="00194DF0"/>
    <w:rsid w:val="0019770E"/>
    <w:rsid w:val="00197E1E"/>
    <w:rsid w:val="001A03A5"/>
    <w:rsid w:val="001A3D83"/>
    <w:rsid w:val="001A47D9"/>
    <w:rsid w:val="001B175A"/>
    <w:rsid w:val="001B2415"/>
    <w:rsid w:val="001B2AAD"/>
    <w:rsid w:val="001B310E"/>
    <w:rsid w:val="001B3112"/>
    <w:rsid w:val="001B3972"/>
    <w:rsid w:val="001B3E45"/>
    <w:rsid w:val="001B3F50"/>
    <w:rsid w:val="001B3F92"/>
    <w:rsid w:val="001B4D77"/>
    <w:rsid w:val="001B68D0"/>
    <w:rsid w:val="001B6D1A"/>
    <w:rsid w:val="001B7442"/>
    <w:rsid w:val="001B7DDF"/>
    <w:rsid w:val="001B7E9B"/>
    <w:rsid w:val="001C02DB"/>
    <w:rsid w:val="001C1CDC"/>
    <w:rsid w:val="001C21CB"/>
    <w:rsid w:val="001C4DFA"/>
    <w:rsid w:val="001C5807"/>
    <w:rsid w:val="001C5D52"/>
    <w:rsid w:val="001C6C68"/>
    <w:rsid w:val="001C7965"/>
    <w:rsid w:val="001C7B4A"/>
    <w:rsid w:val="001D02F9"/>
    <w:rsid w:val="001D09F9"/>
    <w:rsid w:val="001D0B04"/>
    <w:rsid w:val="001D28EE"/>
    <w:rsid w:val="001D2BF6"/>
    <w:rsid w:val="001D443D"/>
    <w:rsid w:val="001D689D"/>
    <w:rsid w:val="001D7A1F"/>
    <w:rsid w:val="001E05FB"/>
    <w:rsid w:val="001E135A"/>
    <w:rsid w:val="001E64E8"/>
    <w:rsid w:val="001E718B"/>
    <w:rsid w:val="001F2068"/>
    <w:rsid w:val="001F43CF"/>
    <w:rsid w:val="001F5134"/>
    <w:rsid w:val="001F559B"/>
    <w:rsid w:val="001F6C73"/>
    <w:rsid w:val="001F6EAE"/>
    <w:rsid w:val="001F6EB5"/>
    <w:rsid w:val="001F7447"/>
    <w:rsid w:val="001F7865"/>
    <w:rsid w:val="001F78FE"/>
    <w:rsid w:val="00200DD5"/>
    <w:rsid w:val="00202AB5"/>
    <w:rsid w:val="002054B1"/>
    <w:rsid w:val="00205947"/>
    <w:rsid w:val="0020618B"/>
    <w:rsid w:val="002070B2"/>
    <w:rsid w:val="00207E72"/>
    <w:rsid w:val="00212665"/>
    <w:rsid w:val="00216370"/>
    <w:rsid w:val="00216E29"/>
    <w:rsid w:val="002175DF"/>
    <w:rsid w:val="0021786B"/>
    <w:rsid w:val="00222084"/>
    <w:rsid w:val="002229A8"/>
    <w:rsid w:val="002237FE"/>
    <w:rsid w:val="00223945"/>
    <w:rsid w:val="00224C8B"/>
    <w:rsid w:val="00225EF5"/>
    <w:rsid w:val="00230BEB"/>
    <w:rsid w:val="0023237D"/>
    <w:rsid w:val="00232EBE"/>
    <w:rsid w:val="002331E8"/>
    <w:rsid w:val="0023442D"/>
    <w:rsid w:val="00235259"/>
    <w:rsid w:val="002355C3"/>
    <w:rsid w:val="002357FD"/>
    <w:rsid w:val="0024043D"/>
    <w:rsid w:val="00243687"/>
    <w:rsid w:val="002441E2"/>
    <w:rsid w:val="0024464D"/>
    <w:rsid w:val="00244B2F"/>
    <w:rsid w:val="002460A8"/>
    <w:rsid w:val="00246336"/>
    <w:rsid w:val="0025213C"/>
    <w:rsid w:val="002524F5"/>
    <w:rsid w:val="00253A29"/>
    <w:rsid w:val="002550E0"/>
    <w:rsid w:val="002551A3"/>
    <w:rsid w:val="00255957"/>
    <w:rsid w:val="00255A82"/>
    <w:rsid w:val="00256035"/>
    <w:rsid w:val="002572B0"/>
    <w:rsid w:val="002572C7"/>
    <w:rsid w:val="00257AFE"/>
    <w:rsid w:val="002640C1"/>
    <w:rsid w:val="002651B3"/>
    <w:rsid w:val="00265504"/>
    <w:rsid w:val="0026561A"/>
    <w:rsid w:val="00265D9B"/>
    <w:rsid w:val="00270A22"/>
    <w:rsid w:val="00271AD9"/>
    <w:rsid w:val="00271BB1"/>
    <w:rsid w:val="00273CDF"/>
    <w:rsid w:val="00274026"/>
    <w:rsid w:val="00274566"/>
    <w:rsid w:val="00274A1B"/>
    <w:rsid w:val="00275091"/>
    <w:rsid w:val="0027556F"/>
    <w:rsid w:val="00275F25"/>
    <w:rsid w:val="00275FE2"/>
    <w:rsid w:val="002770FA"/>
    <w:rsid w:val="002775C1"/>
    <w:rsid w:val="00280034"/>
    <w:rsid w:val="002811A3"/>
    <w:rsid w:val="00281480"/>
    <w:rsid w:val="00282BAF"/>
    <w:rsid w:val="00283272"/>
    <w:rsid w:val="002835C5"/>
    <w:rsid w:val="002852BB"/>
    <w:rsid w:val="002862DC"/>
    <w:rsid w:val="002903E7"/>
    <w:rsid w:val="0029044A"/>
    <w:rsid w:val="00291265"/>
    <w:rsid w:val="002932FC"/>
    <w:rsid w:val="00294642"/>
    <w:rsid w:val="002951EA"/>
    <w:rsid w:val="00295F7B"/>
    <w:rsid w:val="0029685B"/>
    <w:rsid w:val="00296C27"/>
    <w:rsid w:val="0029785A"/>
    <w:rsid w:val="00297D4E"/>
    <w:rsid w:val="002A0D57"/>
    <w:rsid w:val="002A0EE9"/>
    <w:rsid w:val="002A4CF4"/>
    <w:rsid w:val="002A4F1B"/>
    <w:rsid w:val="002A610C"/>
    <w:rsid w:val="002A69E0"/>
    <w:rsid w:val="002A758B"/>
    <w:rsid w:val="002A7BD3"/>
    <w:rsid w:val="002B19F0"/>
    <w:rsid w:val="002B2356"/>
    <w:rsid w:val="002B4259"/>
    <w:rsid w:val="002B4F23"/>
    <w:rsid w:val="002B5CBA"/>
    <w:rsid w:val="002B63A0"/>
    <w:rsid w:val="002B6418"/>
    <w:rsid w:val="002B6E66"/>
    <w:rsid w:val="002C0EFE"/>
    <w:rsid w:val="002C364F"/>
    <w:rsid w:val="002C4404"/>
    <w:rsid w:val="002C449B"/>
    <w:rsid w:val="002C52F2"/>
    <w:rsid w:val="002C5D5C"/>
    <w:rsid w:val="002C5FEE"/>
    <w:rsid w:val="002C614B"/>
    <w:rsid w:val="002D0718"/>
    <w:rsid w:val="002D18C4"/>
    <w:rsid w:val="002D3685"/>
    <w:rsid w:val="002D3B5A"/>
    <w:rsid w:val="002D4236"/>
    <w:rsid w:val="002D62F6"/>
    <w:rsid w:val="002D68FB"/>
    <w:rsid w:val="002E07C0"/>
    <w:rsid w:val="002E17B6"/>
    <w:rsid w:val="002E3F96"/>
    <w:rsid w:val="002E5B31"/>
    <w:rsid w:val="002E5F7B"/>
    <w:rsid w:val="002E5FF3"/>
    <w:rsid w:val="002E79C3"/>
    <w:rsid w:val="002F201D"/>
    <w:rsid w:val="002F41D4"/>
    <w:rsid w:val="002F4F0A"/>
    <w:rsid w:val="002F4F60"/>
    <w:rsid w:val="002F5A9B"/>
    <w:rsid w:val="0030148F"/>
    <w:rsid w:val="0030275E"/>
    <w:rsid w:val="00302B3D"/>
    <w:rsid w:val="003033C2"/>
    <w:rsid w:val="00303623"/>
    <w:rsid w:val="00303AA0"/>
    <w:rsid w:val="00303C04"/>
    <w:rsid w:val="00304631"/>
    <w:rsid w:val="003048C4"/>
    <w:rsid w:val="0030599C"/>
    <w:rsid w:val="00306292"/>
    <w:rsid w:val="00306536"/>
    <w:rsid w:val="00306BED"/>
    <w:rsid w:val="0030777F"/>
    <w:rsid w:val="00307D46"/>
    <w:rsid w:val="003101C8"/>
    <w:rsid w:val="003102EC"/>
    <w:rsid w:val="003106AB"/>
    <w:rsid w:val="0031348E"/>
    <w:rsid w:val="003139ED"/>
    <w:rsid w:val="00313E22"/>
    <w:rsid w:val="00313FEB"/>
    <w:rsid w:val="00314452"/>
    <w:rsid w:val="003176CF"/>
    <w:rsid w:val="00317D1B"/>
    <w:rsid w:val="0032029D"/>
    <w:rsid w:val="00320FA0"/>
    <w:rsid w:val="00323D5F"/>
    <w:rsid w:val="0032632D"/>
    <w:rsid w:val="0032687D"/>
    <w:rsid w:val="00327CA5"/>
    <w:rsid w:val="003304E6"/>
    <w:rsid w:val="00330799"/>
    <w:rsid w:val="00330D9D"/>
    <w:rsid w:val="00330E4C"/>
    <w:rsid w:val="0033271B"/>
    <w:rsid w:val="00333228"/>
    <w:rsid w:val="00333C8E"/>
    <w:rsid w:val="003343C8"/>
    <w:rsid w:val="003343FC"/>
    <w:rsid w:val="003352C8"/>
    <w:rsid w:val="00340B29"/>
    <w:rsid w:val="003430B2"/>
    <w:rsid w:val="0034343F"/>
    <w:rsid w:val="003438C4"/>
    <w:rsid w:val="003448A4"/>
    <w:rsid w:val="00344A3C"/>
    <w:rsid w:val="003456E1"/>
    <w:rsid w:val="00346FDC"/>
    <w:rsid w:val="00351B3B"/>
    <w:rsid w:val="00351DBE"/>
    <w:rsid w:val="00352435"/>
    <w:rsid w:val="00357CE1"/>
    <w:rsid w:val="0036120A"/>
    <w:rsid w:val="00362226"/>
    <w:rsid w:val="00363367"/>
    <w:rsid w:val="00363BD8"/>
    <w:rsid w:val="00363FB4"/>
    <w:rsid w:val="003640A5"/>
    <w:rsid w:val="003641C2"/>
    <w:rsid w:val="00364AF0"/>
    <w:rsid w:val="00366161"/>
    <w:rsid w:val="00366AE7"/>
    <w:rsid w:val="00367AE4"/>
    <w:rsid w:val="003700FD"/>
    <w:rsid w:val="00370535"/>
    <w:rsid w:val="00370B8B"/>
    <w:rsid w:val="00370F4E"/>
    <w:rsid w:val="00371C85"/>
    <w:rsid w:val="00374753"/>
    <w:rsid w:val="003750C3"/>
    <w:rsid w:val="00375BD7"/>
    <w:rsid w:val="00376AD0"/>
    <w:rsid w:val="00381187"/>
    <w:rsid w:val="00386709"/>
    <w:rsid w:val="00387C4D"/>
    <w:rsid w:val="00390252"/>
    <w:rsid w:val="0039062E"/>
    <w:rsid w:val="00392743"/>
    <w:rsid w:val="00392D26"/>
    <w:rsid w:val="003931AA"/>
    <w:rsid w:val="00393AB3"/>
    <w:rsid w:val="00393B6B"/>
    <w:rsid w:val="0039441C"/>
    <w:rsid w:val="00395F38"/>
    <w:rsid w:val="00396A29"/>
    <w:rsid w:val="00396A2E"/>
    <w:rsid w:val="00396C4D"/>
    <w:rsid w:val="003A12E5"/>
    <w:rsid w:val="003A1F63"/>
    <w:rsid w:val="003A259E"/>
    <w:rsid w:val="003A2A82"/>
    <w:rsid w:val="003A41A3"/>
    <w:rsid w:val="003A4B7E"/>
    <w:rsid w:val="003A5FB6"/>
    <w:rsid w:val="003B1358"/>
    <w:rsid w:val="003B1D63"/>
    <w:rsid w:val="003B42D8"/>
    <w:rsid w:val="003B486C"/>
    <w:rsid w:val="003B5235"/>
    <w:rsid w:val="003B57F2"/>
    <w:rsid w:val="003B6A11"/>
    <w:rsid w:val="003C0215"/>
    <w:rsid w:val="003C1086"/>
    <w:rsid w:val="003C1300"/>
    <w:rsid w:val="003C6478"/>
    <w:rsid w:val="003C6486"/>
    <w:rsid w:val="003C66DE"/>
    <w:rsid w:val="003C7295"/>
    <w:rsid w:val="003D1348"/>
    <w:rsid w:val="003D1A3A"/>
    <w:rsid w:val="003D4696"/>
    <w:rsid w:val="003D5B08"/>
    <w:rsid w:val="003D62BE"/>
    <w:rsid w:val="003D72CF"/>
    <w:rsid w:val="003D7609"/>
    <w:rsid w:val="003E00AE"/>
    <w:rsid w:val="003E01D6"/>
    <w:rsid w:val="003E29A1"/>
    <w:rsid w:val="003E2AFE"/>
    <w:rsid w:val="003E651F"/>
    <w:rsid w:val="003E7ED3"/>
    <w:rsid w:val="003F0D5A"/>
    <w:rsid w:val="003F28A2"/>
    <w:rsid w:val="003F2BF8"/>
    <w:rsid w:val="003F3317"/>
    <w:rsid w:val="003F38CE"/>
    <w:rsid w:val="003F450C"/>
    <w:rsid w:val="003F495F"/>
    <w:rsid w:val="003F4AB3"/>
    <w:rsid w:val="003F519B"/>
    <w:rsid w:val="003F6760"/>
    <w:rsid w:val="003F6D55"/>
    <w:rsid w:val="003F761A"/>
    <w:rsid w:val="003F7F6A"/>
    <w:rsid w:val="00400A7C"/>
    <w:rsid w:val="00400EDE"/>
    <w:rsid w:val="00401149"/>
    <w:rsid w:val="00401346"/>
    <w:rsid w:val="00403354"/>
    <w:rsid w:val="00403D5E"/>
    <w:rsid w:val="004060BD"/>
    <w:rsid w:val="0040706F"/>
    <w:rsid w:val="00410A53"/>
    <w:rsid w:val="00410EBF"/>
    <w:rsid w:val="0041138D"/>
    <w:rsid w:val="00411710"/>
    <w:rsid w:val="004119BB"/>
    <w:rsid w:val="00413627"/>
    <w:rsid w:val="004139D9"/>
    <w:rsid w:val="00414E78"/>
    <w:rsid w:val="00415669"/>
    <w:rsid w:val="00416A19"/>
    <w:rsid w:val="00416F8D"/>
    <w:rsid w:val="00417042"/>
    <w:rsid w:val="0041791A"/>
    <w:rsid w:val="00417C0F"/>
    <w:rsid w:val="00420630"/>
    <w:rsid w:val="00420BC2"/>
    <w:rsid w:val="00420C68"/>
    <w:rsid w:val="00422041"/>
    <w:rsid w:val="00422B9E"/>
    <w:rsid w:val="004235B7"/>
    <w:rsid w:val="00423CD9"/>
    <w:rsid w:val="00424155"/>
    <w:rsid w:val="00425229"/>
    <w:rsid w:val="00425F76"/>
    <w:rsid w:val="00426273"/>
    <w:rsid w:val="00430FDD"/>
    <w:rsid w:val="00431384"/>
    <w:rsid w:val="00431A29"/>
    <w:rsid w:val="00433224"/>
    <w:rsid w:val="004337E4"/>
    <w:rsid w:val="00433A55"/>
    <w:rsid w:val="00434666"/>
    <w:rsid w:val="00435A4D"/>
    <w:rsid w:val="00437F5C"/>
    <w:rsid w:val="00440899"/>
    <w:rsid w:val="0044180C"/>
    <w:rsid w:val="00441AB2"/>
    <w:rsid w:val="00442B6D"/>
    <w:rsid w:val="00446773"/>
    <w:rsid w:val="0044679B"/>
    <w:rsid w:val="00446BEB"/>
    <w:rsid w:val="0044734C"/>
    <w:rsid w:val="00447FFC"/>
    <w:rsid w:val="004502D9"/>
    <w:rsid w:val="0045159A"/>
    <w:rsid w:val="00453A9E"/>
    <w:rsid w:val="00453ADD"/>
    <w:rsid w:val="00454395"/>
    <w:rsid w:val="0045514E"/>
    <w:rsid w:val="00455829"/>
    <w:rsid w:val="00455A93"/>
    <w:rsid w:val="00455D93"/>
    <w:rsid w:val="00456458"/>
    <w:rsid w:val="00456A19"/>
    <w:rsid w:val="00460246"/>
    <w:rsid w:val="0046177F"/>
    <w:rsid w:val="00461BA3"/>
    <w:rsid w:val="00461F4D"/>
    <w:rsid w:val="00462928"/>
    <w:rsid w:val="00462DAB"/>
    <w:rsid w:val="00462F1B"/>
    <w:rsid w:val="004654BF"/>
    <w:rsid w:val="00470AA6"/>
    <w:rsid w:val="00472569"/>
    <w:rsid w:val="004735EA"/>
    <w:rsid w:val="00474C47"/>
    <w:rsid w:val="00476123"/>
    <w:rsid w:val="00476EDE"/>
    <w:rsid w:val="00481BF4"/>
    <w:rsid w:val="00486595"/>
    <w:rsid w:val="00486667"/>
    <w:rsid w:val="004901AA"/>
    <w:rsid w:val="00490C22"/>
    <w:rsid w:val="00490E2B"/>
    <w:rsid w:val="00491120"/>
    <w:rsid w:val="00491716"/>
    <w:rsid w:val="004926E6"/>
    <w:rsid w:val="00493090"/>
    <w:rsid w:val="00494D65"/>
    <w:rsid w:val="00497942"/>
    <w:rsid w:val="004A0262"/>
    <w:rsid w:val="004A275D"/>
    <w:rsid w:val="004A38DC"/>
    <w:rsid w:val="004A3E3F"/>
    <w:rsid w:val="004B0201"/>
    <w:rsid w:val="004B1E31"/>
    <w:rsid w:val="004B204F"/>
    <w:rsid w:val="004B21E9"/>
    <w:rsid w:val="004B312C"/>
    <w:rsid w:val="004B6316"/>
    <w:rsid w:val="004B6B75"/>
    <w:rsid w:val="004B7D8F"/>
    <w:rsid w:val="004C10C9"/>
    <w:rsid w:val="004C361D"/>
    <w:rsid w:val="004C510F"/>
    <w:rsid w:val="004C59B2"/>
    <w:rsid w:val="004C7350"/>
    <w:rsid w:val="004D0E8C"/>
    <w:rsid w:val="004D12ED"/>
    <w:rsid w:val="004D223E"/>
    <w:rsid w:val="004D4DD4"/>
    <w:rsid w:val="004D6024"/>
    <w:rsid w:val="004D6D0C"/>
    <w:rsid w:val="004E0987"/>
    <w:rsid w:val="004E185A"/>
    <w:rsid w:val="004E306E"/>
    <w:rsid w:val="004E3711"/>
    <w:rsid w:val="004E3DAD"/>
    <w:rsid w:val="004E578D"/>
    <w:rsid w:val="004E6051"/>
    <w:rsid w:val="004E7359"/>
    <w:rsid w:val="004F30CD"/>
    <w:rsid w:val="004F7DC9"/>
    <w:rsid w:val="005026F6"/>
    <w:rsid w:val="00502C9B"/>
    <w:rsid w:val="00504AD3"/>
    <w:rsid w:val="00505C3E"/>
    <w:rsid w:val="00507064"/>
    <w:rsid w:val="00507928"/>
    <w:rsid w:val="005106D6"/>
    <w:rsid w:val="0051178F"/>
    <w:rsid w:val="00511E08"/>
    <w:rsid w:val="00513148"/>
    <w:rsid w:val="00513EF1"/>
    <w:rsid w:val="005140E9"/>
    <w:rsid w:val="00515FAF"/>
    <w:rsid w:val="00516A7B"/>
    <w:rsid w:val="00516C21"/>
    <w:rsid w:val="005178DD"/>
    <w:rsid w:val="00520402"/>
    <w:rsid w:val="005210AD"/>
    <w:rsid w:val="00521FC9"/>
    <w:rsid w:val="00522839"/>
    <w:rsid w:val="0052476E"/>
    <w:rsid w:val="00527E34"/>
    <w:rsid w:val="00530A22"/>
    <w:rsid w:val="00530AC7"/>
    <w:rsid w:val="00531713"/>
    <w:rsid w:val="00531C52"/>
    <w:rsid w:val="00536B8D"/>
    <w:rsid w:val="00536C99"/>
    <w:rsid w:val="00536D4E"/>
    <w:rsid w:val="005374BD"/>
    <w:rsid w:val="00540770"/>
    <w:rsid w:val="005423A6"/>
    <w:rsid w:val="00542C23"/>
    <w:rsid w:val="00544035"/>
    <w:rsid w:val="00545463"/>
    <w:rsid w:val="005466AC"/>
    <w:rsid w:val="00547D68"/>
    <w:rsid w:val="005503EA"/>
    <w:rsid w:val="005504BD"/>
    <w:rsid w:val="00550690"/>
    <w:rsid w:val="00552AD2"/>
    <w:rsid w:val="00554167"/>
    <w:rsid w:val="005552EB"/>
    <w:rsid w:val="00556F27"/>
    <w:rsid w:val="00557C62"/>
    <w:rsid w:val="005618F4"/>
    <w:rsid w:val="005621FC"/>
    <w:rsid w:val="00562C7D"/>
    <w:rsid w:val="00563A20"/>
    <w:rsid w:val="00564BC4"/>
    <w:rsid w:val="005662E3"/>
    <w:rsid w:val="0056654F"/>
    <w:rsid w:val="0056711D"/>
    <w:rsid w:val="0057016A"/>
    <w:rsid w:val="00572136"/>
    <w:rsid w:val="00577E71"/>
    <w:rsid w:val="00580827"/>
    <w:rsid w:val="005825E5"/>
    <w:rsid w:val="005833DE"/>
    <w:rsid w:val="005849F5"/>
    <w:rsid w:val="00584C7E"/>
    <w:rsid w:val="005850BD"/>
    <w:rsid w:val="005851AB"/>
    <w:rsid w:val="0058552E"/>
    <w:rsid w:val="00585C32"/>
    <w:rsid w:val="00587433"/>
    <w:rsid w:val="0058766D"/>
    <w:rsid w:val="0059025E"/>
    <w:rsid w:val="00591056"/>
    <w:rsid w:val="00591996"/>
    <w:rsid w:val="0059207B"/>
    <w:rsid w:val="005929D8"/>
    <w:rsid w:val="00592AC8"/>
    <w:rsid w:val="0059319F"/>
    <w:rsid w:val="005932C8"/>
    <w:rsid w:val="00597231"/>
    <w:rsid w:val="005A3065"/>
    <w:rsid w:val="005A3D14"/>
    <w:rsid w:val="005A4E8A"/>
    <w:rsid w:val="005A56AB"/>
    <w:rsid w:val="005A5C71"/>
    <w:rsid w:val="005A639D"/>
    <w:rsid w:val="005B000B"/>
    <w:rsid w:val="005B2430"/>
    <w:rsid w:val="005B245D"/>
    <w:rsid w:val="005B3AFE"/>
    <w:rsid w:val="005B4D7B"/>
    <w:rsid w:val="005B60E0"/>
    <w:rsid w:val="005B62A7"/>
    <w:rsid w:val="005B7D22"/>
    <w:rsid w:val="005C0620"/>
    <w:rsid w:val="005C1253"/>
    <w:rsid w:val="005C246E"/>
    <w:rsid w:val="005C2A40"/>
    <w:rsid w:val="005C3145"/>
    <w:rsid w:val="005C4662"/>
    <w:rsid w:val="005C6384"/>
    <w:rsid w:val="005C6891"/>
    <w:rsid w:val="005C6F78"/>
    <w:rsid w:val="005C76D5"/>
    <w:rsid w:val="005D1FD0"/>
    <w:rsid w:val="005D6BEE"/>
    <w:rsid w:val="005D7D0A"/>
    <w:rsid w:val="005D7DCD"/>
    <w:rsid w:val="005E04CA"/>
    <w:rsid w:val="005E1406"/>
    <w:rsid w:val="005E1772"/>
    <w:rsid w:val="005E46BA"/>
    <w:rsid w:val="005E4D7C"/>
    <w:rsid w:val="005E51C0"/>
    <w:rsid w:val="005E5AA5"/>
    <w:rsid w:val="005E6B58"/>
    <w:rsid w:val="005F0B82"/>
    <w:rsid w:val="005F399D"/>
    <w:rsid w:val="005F4B21"/>
    <w:rsid w:val="005F4F23"/>
    <w:rsid w:val="005F4FA9"/>
    <w:rsid w:val="005F5EBA"/>
    <w:rsid w:val="005F73BD"/>
    <w:rsid w:val="005F73E6"/>
    <w:rsid w:val="0060021C"/>
    <w:rsid w:val="0060035C"/>
    <w:rsid w:val="00600C2F"/>
    <w:rsid w:val="00601E9B"/>
    <w:rsid w:val="0060247D"/>
    <w:rsid w:val="0060345C"/>
    <w:rsid w:val="006047FB"/>
    <w:rsid w:val="00606BAB"/>
    <w:rsid w:val="00606D89"/>
    <w:rsid w:val="00607E84"/>
    <w:rsid w:val="0061024A"/>
    <w:rsid w:val="00610B5D"/>
    <w:rsid w:val="006111D2"/>
    <w:rsid w:val="00612957"/>
    <w:rsid w:val="00613063"/>
    <w:rsid w:val="00613453"/>
    <w:rsid w:val="00614199"/>
    <w:rsid w:val="00614AD8"/>
    <w:rsid w:val="006160BC"/>
    <w:rsid w:val="006161ED"/>
    <w:rsid w:val="00624537"/>
    <w:rsid w:val="006245AF"/>
    <w:rsid w:val="00625414"/>
    <w:rsid w:val="0062682F"/>
    <w:rsid w:val="006268DA"/>
    <w:rsid w:val="00626EFD"/>
    <w:rsid w:val="00627075"/>
    <w:rsid w:val="006276D9"/>
    <w:rsid w:val="00630397"/>
    <w:rsid w:val="00630A15"/>
    <w:rsid w:val="00630A93"/>
    <w:rsid w:val="00630E2D"/>
    <w:rsid w:val="006315ED"/>
    <w:rsid w:val="0063362F"/>
    <w:rsid w:val="00633D49"/>
    <w:rsid w:val="00635AF8"/>
    <w:rsid w:val="00635F12"/>
    <w:rsid w:val="00636A7B"/>
    <w:rsid w:val="006407F2"/>
    <w:rsid w:val="00640B18"/>
    <w:rsid w:val="00640D70"/>
    <w:rsid w:val="00642800"/>
    <w:rsid w:val="006436DE"/>
    <w:rsid w:val="00643725"/>
    <w:rsid w:val="00643E5E"/>
    <w:rsid w:val="0064409A"/>
    <w:rsid w:val="006443BA"/>
    <w:rsid w:val="00645358"/>
    <w:rsid w:val="006474AD"/>
    <w:rsid w:val="0065020E"/>
    <w:rsid w:val="006502D6"/>
    <w:rsid w:val="00651CF6"/>
    <w:rsid w:val="00652499"/>
    <w:rsid w:val="00652FDD"/>
    <w:rsid w:val="00653BD2"/>
    <w:rsid w:val="00654A53"/>
    <w:rsid w:val="006568C5"/>
    <w:rsid w:val="0066004F"/>
    <w:rsid w:val="00660904"/>
    <w:rsid w:val="00663B7A"/>
    <w:rsid w:val="006642F0"/>
    <w:rsid w:val="00670172"/>
    <w:rsid w:val="0067316C"/>
    <w:rsid w:val="00673642"/>
    <w:rsid w:val="00673CEF"/>
    <w:rsid w:val="00675847"/>
    <w:rsid w:val="00676215"/>
    <w:rsid w:val="00676EAF"/>
    <w:rsid w:val="00677441"/>
    <w:rsid w:val="006829EF"/>
    <w:rsid w:val="00690B98"/>
    <w:rsid w:val="006912EE"/>
    <w:rsid w:val="00691B25"/>
    <w:rsid w:val="006935F1"/>
    <w:rsid w:val="006936B1"/>
    <w:rsid w:val="006938C1"/>
    <w:rsid w:val="00693F66"/>
    <w:rsid w:val="006949D2"/>
    <w:rsid w:val="00695528"/>
    <w:rsid w:val="00696873"/>
    <w:rsid w:val="006A170A"/>
    <w:rsid w:val="006A3376"/>
    <w:rsid w:val="006A398F"/>
    <w:rsid w:val="006A4EE1"/>
    <w:rsid w:val="006A6269"/>
    <w:rsid w:val="006A72CD"/>
    <w:rsid w:val="006A7F55"/>
    <w:rsid w:val="006B0399"/>
    <w:rsid w:val="006B0A76"/>
    <w:rsid w:val="006B1094"/>
    <w:rsid w:val="006B11CD"/>
    <w:rsid w:val="006B1AF3"/>
    <w:rsid w:val="006B2E2E"/>
    <w:rsid w:val="006B2E7F"/>
    <w:rsid w:val="006B3A64"/>
    <w:rsid w:val="006B5927"/>
    <w:rsid w:val="006B6570"/>
    <w:rsid w:val="006B787B"/>
    <w:rsid w:val="006C0B87"/>
    <w:rsid w:val="006C21AC"/>
    <w:rsid w:val="006C38BE"/>
    <w:rsid w:val="006C3C0E"/>
    <w:rsid w:val="006C6F3D"/>
    <w:rsid w:val="006D03EE"/>
    <w:rsid w:val="006D1783"/>
    <w:rsid w:val="006D2231"/>
    <w:rsid w:val="006D3A94"/>
    <w:rsid w:val="006D43DB"/>
    <w:rsid w:val="006D5323"/>
    <w:rsid w:val="006D6CFA"/>
    <w:rsid w:val="006D6E85"/>
    <w:rsid w:val="006E1031"/>
    <w:rsid w:val="006E1395"/>
    <w:rsid w:val="006E1E80"/>
    <w:rsid w:val="006E4947"/>
    <w:rsid w:val="006E5C69"/>
    <w:rsid w:val="006E6C41"/>
    <w:rsid w:val="006E6F20"/>
    <w:rsid w:val="006E7A04"/>
    <w:rsid w:val="006F02AF"/>
    <w:rsid w:val="006F1333"/>
    <w:rsid w:val="006F2E6A"/>
    <w:rsid w:val="006F3485"/>
    <w:rsid w:val="006F34CA"/>
    <w:rsid w:val="006F62DC"/>
    <w:rsid w:val="006F7546"/>
    <w:rsid w:val="006F7A23"/>
    <w:rsid w:val="007032C1"/>
    <w:rsid w:val="00705D33"/>
    <w:rsid w:val="00705FE9"/>
    <w:rsid w:val="00706B20"/>
    <w:rsid w:val="00707560"/>
    <w:rsid w:val="00710439"/>
    <w:rsid w:val="0071092F"/>
    <w:rsid w:val="00710DC9"/>
    <w:rsid w:val="00710E26"/>
    <w:rsid w:val="00711179"/>
    <w:rsid w:val="00712EE9"/>
    <w:rsid w:val="00712F8F"/>
    <w:rsid w:val="00712FCF"/>
    <w:rsid w:val="00713413"/>
    <w:rsid w:val="00714945"/>
    <w:rsid w:val="00715596"/>
    <w:rsid w:val="00715CAD"/>
    <w:rsid w:val="00715F9E"/>
    <w:rsid w:val="00717A91"/>
    <w:rsid w:val="007202B9"/>
    <w:rsid w:val="0072190D"/>
    <w:rsid w:val="00722D5A"/>
    <w:rsid w:val="007243CE"/>
    <w:rsid w:val="0072489F"/>
    <w:rsid w:val="00724D4D"/>
    <w:rsid w:val="007255CF"/>
    <w:rsid w:val="0072567B"/>
    <w:rsid w:val="00725B04"/>
    <w:rsid w:val="0072646F"/>
    <w:rsid w:val="00726A5C"/>
    <w:rsid w:val="00726E4F"/>
    <w:rsid w:val="007271AC"/>
    <w:rsid w:val="0073109F"/>
    <w:rsid w:val="007310C1"/>
    <w:rsid w:val="00731D67"/>
    <w:rsid w:val="00732BB2"/>
    <w:rsid w:val="00732FE3"/>
    <w:rsid w:val="00733618"/>
    <w:rsid w:val="0073465A"/>
    <w:rsid w:val="00743BAF"/>
    <w:rsid w:val="00744687"/>
    <w:rsid w:val="00745AB4"/>
    <w:rsid w:val="00745E9F"/>
    <w:rsid w:val="00746C15"/>
    <w:rsid w:val="00747EDF"/>
    <w:rsid w:val="007513B5"/>
    <w:rsid w:val="007519CE"/>
    <w:rsid w:val="00754F99"/>
    <w:rsid w:val="00755467"/>
    <w:rsid w:val="00756F63"/>
    <w:rsid w:val="00760609"/>
    <w:rsid w:val="00760A8E"/>
    <w:rsid w:val="00761775"/>
    <w:rsid w:val="00763217"/>
    <w:rsid w:val="00763540"/>
    <w:rsid w:val="00763D68"/>
    <w:rsid w:val="00764868"/>
    <w:rsid w:val="0076557B"/>
    <w:rsid w:val="007678C3"/>
    <w:rsid w:val="00770FDA"/>
    <w:rsid w:val="0077166D"/>
    <w:rsid w:val="00773035"/>
    <w:rsid w:val="007744B5"/>
    <w:rsid w:val="007753DC"/>
    <w:rsid w:val="007753F3"/>
    <w:rsid w:val="00775CEA"/>
    <w:rsid w:val="00775FE9"/>
    <w:rsid w:val="00776440"/>
    <w:rsid w:val="00776784"/>
    <w:rsid w:val="00776E6E"/>
    <w:rsid w:val="00777066"/>
    <w:rsid w:val="00777452"/>
    <w:rsid w:val="00780DF1"/>
    <w:rsid w:val="0078239F"/>
    <w:rsid w:val="0078298F"/>
    <w:rsid w:val="007832E8"/>
    <w:rsid w:val="007848E5"/>
    <w:rsid w:val="00784F5E"/>
    <w:rsid w:val="0078603E"/>
    <w:rsid w:val="00791BED"/>
    <w:rsid w:val="007921DA"/>
    <w:rsid w:val="0079454E"/>
    <w:rsid w:val="0079522C"/>
    <w:rsid w:val="007978C3"/>
    <w:rsid w:val="00797BC6"/>
    <w:rsid w:val="00797E8A"/>
    <w:rsid w:val="007A130D"/>
    <w:rsid w:val="007A15F2"/>
    <w:rsid w:val="007A1ED0"/>
    <w:rsid w:val="007A2B7F"/>
    <w:rsid w:val="007A2D89"/>
    <w:rsid w:val="007A3435"/>
    <w:rsid w:val="007A3E24"/>
    <w:rsid w:val="007A3E74"/>
    <w:rsid w:val="007A6A16"/>
    <w:rsid w:val="007B033D"/>
    <w:rsid w:val="007B0A48"/>
    <w:rsid w:val="007B6026"/>
    <w:rsid w:val="007B732E"/>
    <w:rsid w:val="007B7798"/>
    <w:rsid w:val="007C52A0"/>
    <w:rsid w:val="007D0559"/>
    <w:rsid w:val="007D08BC"/>
    <w:rsid w:val="007D1973"/>
    <w:rsid w:val="007D396A"/>
    <w:rsid w:val="007D4113"/>
    <w:rsid w:val="007D5688"/>
    <w:rsid w:val="007D5963"/>
    <w:rsid w:val="007D5A06"/>
    <w:rsid w:val="007E2C78"/>
    <w:rsid w:val="007E387D"/>
    <w:rsid w:val="007E403D"/>
    <w:rsid w:val="007E5BB1"/>
    <w:rsid w:val="007E6ADA"/>
    <w:rsid w:val="007E79B3"/>
    <w:rsid w:val="007F0100"/>
    <w:rsid w:val="007F0440"/>
    <w:rsid w:val="007F2088"/>
    <w:rsid w:val="007F282C"/>
    <w:rsid w:val="007F3AF8"/>
    <w:rsid w:val="007F4898"/>
    <w:rsid w:val="007F507B"/>
    <w:rsid w:val="007F568F"/>
    <w:rsid w:val="007F6A13"/>
    <w:rsid w:val="00800355"/>
    <w:rsid w:val="00800CF9"/>
    <w:rsid w:val="008010A1"/>
    <w:rsid w:val="00805018"/>
    <w:rsid w:val="008060A5"/>
    <w:rsid w:val="0080659A"/>
    <w:rsid w:val="00806F31"/>
    <w:rsid w:val="00807ADE"/>
    <w:rsid w:val="008104EE"/>
    <w:rsid w:val="00810A41"/>
    <w:rsid w:val="008120EB"/>
    <w:rsid w:val="00812E82"/>
    <w:rsid w:val="008137A9"/>
    <w:rsid w:val="00814AAB"/>
    <w:rsid w:val="00815D44"/>
    <w:rsid w:val="0081608F"/>
    <w:rsid w:val="008174EB"/>
    <w:rsid w:val="0082333E"/>
    <w:rsid w:val="008235E6"/>
    <w:rsid w:val="00823781"/>
    <w:rsid w:val="00826979"/>
    <w:rsid w:val="008324C0"/>
    <w:rsid w:val="0083291E"/>
    <w:rsid w:val="008329A3"/>
    <w:rsid w:val="00834D1F"/>
    <w:rsid w:val="008419C6"/>
    <w:rsid w:val="00842689"/>
    <w:rsid w:val="0084314D"/>
    <w:rsid w:val="00844910"/>
    <w:rsid w:val="008465A2"/>
    <w:rsid w:val="00847019"/>
    <w:rsid w:val="00847CC5"/>
    <w:rsid w:val="008501A9"/>
    <w:rsid w:val="0085024B"/>
    <w:rsid w:val="00850A5A"/>
    <w:rsid w:val="00851869"/>
    <w:rsid w:val="00851BD8"/>
    <w:rsid w:val="00852C03"/>
    <w:rsid w:val="008535B7"/>
    <w:rsid w:val="00857349"/>
    <w:rsid w:val="00857646"/>
    <w:rsid w:val="008605D3"/>
    <w:rsid w:val="008627FC"/>
    <w:rsid w:val="00864B3D"/>
    <w:rsid w:val="008652D9"/>
    <w:rsid w:val="00866843"/>
    <w:rsid w:val="00866A5F"/>
    <w:rsid w:val="00866E14"/>
    <w:rsid w:val="00867FAF"/>
    <w:rsid w:val="00870AF5"/>
    <w:rsid w:val="008712CC"/>
    <w:rsid w:val="00871891"/>
    <w:rsid w:val="00873FE8"/>
    <w:rsid w:val="0087478B"/>
    <w:rsid w:val="00874C6E"/>
    <w:rsid w:val="008768DC"/>
    <w:rsid w:val="00876D4D"/>
    <w:rsid w:val="00881494"/>
    <w:rsid w:val="00881501"/>
    <w:rsid w:val="008818CC"/>
    <w:rsid w:val="008821A1"/>
    <w:rsid w:val="00882949"/>
    <w:rsid w:val="00882D4F"/>
    <w:rsid w:val="0088369B"/>
    <w:rsid w:val="008844B2"/>
    <w:rsid w:val="008856F0"/>
    <w:rsid w:val="00885BA6"/>
    <w:rsid w:val="00886205"/>
    <w:rsid w:val="008867EC"/>
    <w:rsid w:val="00890078"/>
    <w:rsid w:val="00890908"/>
    <w:rsid w:val="00891C51"/>
    <w:rsid w:val="0089275A"/>
    <w:rsid w:val="0089361F"/>
    <w:rsid w:val="008966B8"/>
    <w:rsid w:val="008A0A61"/>
    <w:rsid w:val="008A0AF4"/>
    <w:rsid w:val="008A0C04"/>
    <w:rsid w:val="008A0DDF"/>
    <w:rsid w:val="008A26A0"/>
    <w:rsid w:val="008A2862"/>
    <w:rsid w:val="008A2AF0"/>
    <w:rsid w:val="008A3C55"/>
    <w:rsid w:val="008A5AF2"/>
    <w:rsid w:val="008B03E3"/>
    <w:rsid w:val="008B06B1"/>
    <w:rsid w:val="008B071A"/>
    <w:rsid w:val="008B0E09"/>
    <w:rsid w:val="008B33D8"/>
    <w:rsid w:val="008B3688"/>
    <w:rsid w:val="008B3D15"/>
    <w:rsid w:val="008B4E53"/>
    <w:rsid w:val="008B637B"/>
    <w:rsid w:val="008B789A"/>
    <w:rsid w:val="008C0457"/>
    <w:rsid w:val="008C126F"/>
    <w:rsid w:val="008C1D47"/>
    <w:rsid w:val="008C5DED"/>
    <w:rsid w:val="008C6EA2"/>
    <w:rsid w:val="008D018D"/>
    <w:rsid w:val="008D211B"/>
    <w:rsid w:val="008D3DC3"/>
    <w:rsid w:val="008D4CB3"/>
    <w:rsid w:val="008E2594"/>
    <w:rsid w:val="008E2D8B"/>
    <w:rsid w:val="008E33D2"/>
    <w:rsid w:val="008E46F5"/>
    <w:rsid w:val="008E4E8D"/>
    <w:rsid w:val="008E5DEC"/>
    <w:rsid w:val="008E64ED"/>
    <w:rsid w:val="008E6533"/>
    <w:rsid w:val="008E728F"/>
    <w:rsid w:val="008F00A2"/>
    <w:rsid w:val="008F0AFD"/>
    <w:rsid w:val="008F18F0"/>
    <w:rsid w:val="008F24B2"/>
    <w:rsid w:val="008F27A7"/>
    <w:rsid w:val="008F48FD"/>
    <w:rsid w:val="00900221"/>
    <w:rsid w:val="00900847"/>
    <w:rsid w:val="00900B5A"/>
    <w:rsid w:val="00901491"/>
    <w:rsid w:val="00901573"/>
    <w:rsid w:val="00902351"/>
    <w:rsid w:val="009037EC"/>
    <w:rsid w:val="00905AAB"/>
    <w:rsid w:val="00906E75"/>
    <w:rsid w:val="0091068F"/>
    <w:rsid w:val="00910BF7"/>
    <w:rsid w:val="00910D61"/>
    <w:rsid w:val="00911EB2"/>
    <w:rsid w:val="009158E0"/>
    <w:rsid w:val="009209F4"/>
    <w:rsid w:val="009234BB"/>
    <w:rsid w:val="00924CC3"/>
    <w:rsid w:val="00927E59"/>
    <w:rsid w:val="00927FD4"/>
    <w:rsid w:val="0093008E"/>
    <w:rsid w:val="00931E2F"/>
    <w:rsid w:val="00932806"/>
    <w:rsid w:val="00932F8D"/>
    <w:rsid w:val="00933543"/>
    <w:rsid w:val="00934073"/>
    <w:rsid w:val="0093412D"/>
    <w:rsid w:val="00935879"/>
    <w:rsid w:val="009371C6"/>
    <w:rsid w:val="0093786A"/>
    <w:rsid w:val="00942461"/>
    <w:rsid w:val="0094289B"/>
    <w:rsid w:val="0094296F"/>
    <w:rsid w:val="0094393B"/>
    <w:rsid w:val="00945088"/>
    <w:rsid w:val="009472C0"/>
    <w:rsid w:val="0094779B"/>
    <w:rsid w:val="00947D99"/>
    <w:rsid w:val="00947FDA"/>
    <w:rsid w:val="00952133"/>
    <w:rsid w:val="00953930"/>
    <w:rsid w:val="009560F9"/>
    <w:rsid w:val="009568AF"/>
    <w:rsid w:val="00956B5B"/>
    <w:rsid w:val="00957573"/>
    <w:rsid w:val="00960347"/>
    <w:rsid w:val="009610DF"/>
    <w:rsid w:val="00961892"/>
    <w:rsid w:val="00963752"/>
    <w:rsid w:val="00963D05"/>
    <w:rsid w:val="00964CF0"/>
    <w:rsid w:val="009663F4"/>
    <w:rsid w:val="00966603"/>
    <w:rsid w:val="00966998"/>
    <w:rsid w:val="00972303"/>
    <w:rsid w:val="00972973"/>
    <w:rsid w:val="009729C2"/>
    <w:rsid w:val="009738DE"/>
    <w:rsid w:val="009763C3"/>
    <w:rsid w:val="009763ED"/>
    <w:rsid w:val="0097749F"/>
    <w:rsid w:val="00983BEC"/>
    <w:rsid w:val="00984CF8"/>
    <w:rsid w:val="00990421"/>
    <w:rsid w:val="00990AB4"/>
    <w:rsid w:val="009910B4"/>
    <w:rsid w:val="00992A6B"/>
    <w:rsid w:val="00992E80"/>
    <w:rsid w:val="00993380"/>
    <w:rsid w:val="0099424F"/>
    <w:rsid w:val="0099425D"/>
    <w:rsid w:val="00995E43"/>
    <w:rsid w:val="009967C3"/>
    <w:rsid w:val="00997790"/>
    <w:rsid w:val="009977ED"/>
    <w:rsid w:val="009A1027"/>
    <w:rsid w:val="009A3C10"/>
    <w:rsid w:val="009A4618"/>
    <w:rsid w:val="009A4B93"/>
    <w:rsid w:val="009A6553"/>
    <w:rsid w:val="009A6E61"/>
    <w:rsid w:val="009A7296"/>
    <w:rsid w:val="009A7EDB"/>
    <w:rsid w:val="009B189A"/>
    <w:rsid w:val="009B2693"/>
    <w:rsid w:val="009B5356"/>
    <w:rsid w:val="009B7413"/>
    <w:rsid w:val="009C0475"/>
    <w:rsid w:val="009C2F19"/>
    <w:rsid w:val="009C4308"/>
    <w:rsid w:val="009C4DDE"/>
    <w:rsid w:val="009C584B"/>
    <w:rsid w:val="009C6153"/>
    <w:rsid w:val="009C630A"/>
    <w:rsid w:val="009C6343"/>
    <w:rsid w:val="009C7A88"/>
    <w:rsid w:val="009D01A2"/>
    <w:rsid w:val="009D0E23"/>
    <w:rsid w:val="009D1750"/>
    <w:rsid w:val="009D2F72"/>
    <w:rsid w:val="009D3BCD"/>
    <w:rsid w:val="009D42E4"/>
    <w:rsid w:val="009D5D17"/>
    <w:rsid w:val="009D6D85"/>
    <w:rsid w:val="009D778D"/>
    <w:rsid w:val="009E0764"/>
    <w:rsid w:val="009E154B"/>
    <w:rsid w:val="009E1A6B"/>
    <w:rsid w:val="009E1D04"/>
    <w:rsid w:val="009E2A27"/>
    <w:rsid w:val="009E2B98"/>
    <w:rsid w:val="009E2E5A"/>
    <w:rsid w:val="009E2F5C"/>
    <w:rsid w:val="009E3295"/>
    <w:rsid w:val="009E6D81"/>
    <w:rsid w:val="009E7286"/>
    <w:rsid w:val="009E7BF1"/>
    <w:rsid w:val="009F06E8"/>
    <w:rsid w:val="009F10A5"/>
    <w:rsid w:val="009F1B01"/>
    <w:rsid w:val="009F1D18"/>
    <w:rsid w:val="009F28E9"/>
    <w:rsid w:val="009F489C"/>
    <w:rsid w:val="009F5037"/>
    <w:rsid w:val="009F5D8C"/>
    <w:rsid w:val="009F722B"/>
    <w:rsid w:val="00A01ABF"/>
    <w:rsid w:val="00A02103"/>
    <w:rsid w:val="00A0426F"/>
    <w:rsid w:val="00A067EF"/>
    <w:rsid w:val="00A07ABA"/>
    <w:rsid w:val="00A1022E"/>
    <w:rsid w:val="00A11109"/>
    <w:rsid w:val="00A128E4"/>
    <w:rsid w:val="00A1504F"/>
    <w:rsid w:val="00A15431"/>
    <w:rsid w:val="00A15EAF"/>
    <w:rsid w:val="00A16FC5"/>
    <w:rsid w:val="00A1700F"/>
    <w:rsid w:val="00A21587"/>
    <w:rsid w:val="00A24363"/>
    <w:rsid w:val="00A243EF"/>
    <w:rsid w:val="00A245A8"/>
    <w:rsid w:val="00A27799"/>
    <w:rsid w:val="00A31225"/>
    <w:rsid w:val="00A336CE"/>
    <w:rsid w:val="00A3591E"/>
    <w:rsid w:val="00A36B13"/>
    <w:rsid w:val="00A36FE7"/>
    <w:rsid w:val="00A3741F"/>
    <w:rsid w:val="00A429BD"/>
    <w:rsid w:val="00A42B50"/>
    <w:rsid w:val="00A439F7"/>
    <w:rsid w:val="00A44630"/>
    <w:rsid w:val="00A44869"/>
    <w:rsid w:val="00A44F39"/>
    <w:rsid w:val="00A44F5C"/>
    <w:rsid w:val="00A4782C"/>
    <w:rsid w:val="00A50235"/>
    <w:rsid w:val="00A507E9"/>
    <w:rsid w:val="00A51B23"/>
    <w:rsid w:val="00A51F5F"/>
    <w:rsid w:val="00A51F84"/>
    <w:rsid w:val="00A545D6"/>
    <w:rsid w:val="00A5672C"/>
    <w:rsid w:val="00A56AC4"/>
    <w:rsid w:val="00A57500"/>
    <w:rsid w:val="00A60B49"/>
    <w:rsid w:val="00A60FAA"/>
    <w:rsid w:val="00A61018"/>
    <w:rsid w:val="00A61892"/>
    <w:rsid w:val="00A61925"/>
    <w:rsid w:val="00A63E99"/>
    <w:rsid w:val="00A65851"/>
    <w:rsid w:val="00A67EDB"/>
    <w:rsid w:val="00A720CD"/>
    <w:rsid w:val="00A73764"/>
    <w:rsid w:val="00A73CAD"/>
    <w:rsid w:val="00A74208"/>
    <w:rsid w:val="00A74765"/>
    <w:rsid w:val="00A74D4E"/>
    <w:rsid w:val="00A76D04"/>
    <w:rsid w:val="00A775A3"/>
    <w:rsid w:val="00A80D4C"/>
    <w:rsid w:val="00A817CE"/>
    <w:rsid w:val="00A81B5E"/>
    <w:rsid w:val="00A83B1B"/>
    <w:rsid w:val="00A85B28"/>
    <w:rsid w:val="00A8725F"/>
    <w:rsid w:val="00A91C45"/>
    <w:rsid w:val="00A92DFF"/>
    <w:rsid w:val="00A935EF"/>
    <w:rsid w:val="00A93D17"/>
    <w:rsid w:val="00A9741A"/>
    <w:rsid w:val="00AA01F9"/>
    <w:rsid w:val="00AA2C5D"/>
    <w:rsid w:val="00AA3EE0"/>
    <w:rsid w:val="00AA456D"/>
    <w:rsid w:val="00AA6017"/>
    <w:rsid w:val="00AA6F56"/>
    <w:rsid w:val="00AA737D"/>
    <w:rsid w:val="00AA75D0"/>
    <w:rsid w:val="00AA7CC2"/>
    <w:rsid w:val="00AA7EE7"/>
    <w:rsid w:val="00AB1044"/>
    <w:rsid w:val="00AB19EA"/>
    <w:rsid w:val="00AB217C"/>
    <w:rsid w:val="00AB2A92"/>
    <w:rsid w:val="00AB43E1"/>
    <w:rsid w:val="00AB529A"/>
    <w:rsid w:val="00AB75EB"/>
    <w:rsid w:val="00AB7B7C"/>
    <w:rsid w:val="00AC0F19"/>
    <w:rsid w:val="00AC1C06"/>
    <w:rsid w:val="00AC2498"/>
    <w:rsid w:val="00AC28CE"/>
    <w:rsid w:val="00AC3F0C"/>
    <w:rsid w:val="00AC4746"/>
    <w:rsid w:val="00AC54F2"/>
    <w:rsid w:val="00AC58E2"/>
    <w:rsid w:val="00AC5CE5"/>
    <w:rsid w:val="00AC6019"/>
    <w:rsid w:val="00AC665D"/>
    <w:rsid w:val="00AC6783"/>
    <w:rsid w:val="00AC76EE"/>
    <w:rsid w:val="00AC7A53"/>
    <w:rsid w:val="00AC7B61"/>
    <w:rsid w:val="00AC7F3D"/>
    <w:rsid w:val="00AD2299"/>
    <w:rsid w:val="00AD2560"/>
    <w:rsid w:val="00AD3709"/>
    <w:rsid w:val="00AD38FF"/>
    <w:rsid w:val="00AD4E74"/>
    <w:rsid w:val="00AD5AC1"/>
    <w:rsid w:val="00AD7AFE"/>
    <w:rsid w:val="00AD7CFE"/>
    <w:rsid w:val="00AE0AA8"/>
    <w:rsid w:val="00AE1815"/>
    <w:rsid w:val="00AE26D0"/>
    <w:rsid w:val="00AE2F59"/>
    <w:rsid w:val="00AE3651"/>
    <w:rsid w:val="00AE5AA7"/>
    <w:rsid w:val="00AE72AF"/>
    <w:rsid w:val="00AE7D6A"/>
    <w:rsid w:val="00AF14A9"/>
    <w:rsid w:val="00AF1D64"/>
    <w:rsid w:val="00AF2AC2"/>
    <w:rsid w:val="00AF2D6C"/>
    <w:rsid w:val="00AF38DD"/>
    <w:rsid w:val="00AF3FBE"/>
    <w:rsid w:val="00B00F3A"/>
    <w:rsid w:val="00B01073"/>
    <w:rsid w:val="00B014DE"/>
    <w:rsid w:val="00B022BB"/>
    <w:rsid w:val="00B0456F"/>
    <w:rsid w:val="00B04DF6"/>
    <w:rsid w:val="00B05D26"/>
    <w:rsid w:val="00B07AD1"/>
    <w:rsid w:val="00B104B2"/>
    <w:rsid w:val="00B105AC"/>
    <w:rsid w:val="00B13818"/>
    <w:rsid w:val="00B140F1"/>
    <w:rsid w:val="00B1498A"/>
    <w:rsid w:val="00B15E06"/>
    <w:rsid w:val="00B15F4D"/>
    <w:rsid w:val="00B169A9"/>
    <w:rsid w:val="00B17E51"/>
    <w:rsid w:val="00B20802"/>
    <w:rsid w:val="00B20CDC"/>
    <w:rsid w:val="00B21B5B"/>
    <w:rsid w:val="00B21C8C"/>
    <w:rsid w:val="00B21D52"/>
    <w:rsid w:val="00B21F8B"/>
    <w:rsid w:val="00B22A67"/>
    <w:rsid w:val="00B238CD"/>
    <w:rsid w:val="00B2395F"/>
    <w:rsid w:val="00B260AD"/>
    <w:rsid w:val="00B27160"/>
    <w:rsid w:val="00B27A43"/>
    <w:rsid w:val="00B3086C"/>
    <w:rsid w:val="00B3187E"/>
    <w:rsid w:val="00B320C1"/>
    <w:rsid w:val="00B32303"/>
    <w:rsid w:val="00B330A1"/>
    <w:rsid w:val="00B3382E"/>
    <w:rsid w:val="00B3591E"/>
    <w:rsid w:val="00B36110"/>
    <w:rsid w:val="00B3703F"/>
    <w:rsid w:val="00B379E6"/>
    <w:rsid w:val="00B405F1"/>
    <w:rsid w:val="00B40F2C"/>
    <w:rsid w:val="00B43041"/>
    <w:rsid w:val="00B44935"/>
    <w:rsid w:val="00B51574"/>
    <w:rsid w:val="00B51A3A"/>
    <w:rsid w:val="00B527CB"/>
    <w:rsid w:val="00B529AD"/>
    <w:rsid w:val="00B53B1B"/>
    <w:rsid w:val="00B54DEC"/>
    <w:rsid w:val="00B5540C"/>
    <w:rsid w:val="00B5677C"/>
    <w:rsid w:val="00B57056"/>
    <w:rsid w:val="00B57663"/>
    <w:rsid w:val="00B60D52"/>
    <w:rsid w:val="00B628EA"/>
    <w:rsid w:val="00B65084"/>
    <w:rsid w:val="00B67889"/>
    <w:rsid w:val="00B70507"/>
    <w:rsid w:val="00B708BC"/>
    <w:rsid w:val="00B71F91"/>
    <w:rsid w:val="00B72308"/>
    <w:rsid w:val="00B72476"/>
    <w:rsid w:val="00B73EC8"/>
    <w:rsid w:val="00B744DA"/>
    <w:rsid w:val="00B753DB"/>
    <w:rsid w:val="00B77171"/>
    <w:rsid w:val="00B773A9"/>
    <w:rsid w:val="00B8005D"/>
    <w:rsid w:val="00B80D7A"/>
    <w:rsid w:val="00B817F0"/>
    <w:rsid w:val="00B82D82"/>
    <w:rsid w:val="00B831D2"/>
    <w:rsid w:val="00B837C6"/>
    <w:rsid w:val="00B84CFB"/>
    <w:rsid w:val="00B85BF7"/>
    <w:rsid w:val="00B85E8B"/>
    <w:rsid w:val="00B862B0"/>
    <w:rsid w:val="00B8658F"/>
    <w:rsid w:val="00B90060"/>
    <w:rsid w:val="00B920BD"/>
    <w:rsid w:val="00B92395"/>
    <w:rsid w:val="00B92D77"/>
    <w:rsid w:val="00B93641"/>
    <w:rsid w:val="00B94D6C"/>
    <w:rsid w:val="00B9580F"/>
    <w:rsid w:val="00B97FED"/>
    <w:rsid w:val="00BA036F"/>
    <w:rsid w:val="00BA0496"/>
    <w:rsid w:val="00BA05B4"/>
    <w:rsid w:val="00BA157E"/>
    <w:rsid w:val="00BA1AEE"/>
    <w:rsid w:val="00BA2180"/>
    <w:rsid w:val="00BA3B14"/>
    <w:rsid w:val="00BA59AD"/>
    <w:rsid w:val="00BA6B3E"/>
    <w:rsid w:val="00BB0BA7"/>
    <w:rsid w:val="00BB0D5E"/>
    <w:rsid w:val="00BB1080"/>
    <w:rsid w:val="00BB4618"/>
    <w:rsid w:val="00BB4A59"/>
    <w:rsid w:val="00BB6866"/>
    <w:rsid w:val="00BB6B33"/>
    <w:rsid w:val="00BB711C"/>
    <w:rsid w:val="00BB75D9"/>
    <w:rsid w:val="00BB7ADE"/>
    <w:rsid w:val="00BC0BF7"/>
    <w:rsid w:val="00BC4F2F"/>
    <w:rsid w:val="00BC62B0"/>
    <w:rsid w:val="00BC7AFB"/>
    <w:rsid w:val="00BD0C56"/>
    <w:rsid w:val="00BD10BE"/>
    <w:rsid w:val="00BD11ED"/>
    <w:rsid w:val="00BE1F23"/>
    <w:rsid w:val="00BE23B3"/>
    <w:rsid w:val="00BE29F0"/>
    <w:rsid w:val="00BE3552"/>
    <w:rsid w:val="00BE411F"/>
    <w:rsid w:val="00BE44F4"/>
    <w:rsid w:val="00BE4710"/>
    <w:rsid w:val="00BE47BB"/>
    <w:rsid w:val="00BE4D60"/>
    <w:rsid w:val="00BE538C"/>
    <w:rsid w:val="00BE6166"/>
    <w:rsid w:val="00BE6B51"/>
    <w:rsid w:val="00BE6E02"/>
    <w:rsid w:val="00BE77FB"/>
    <w:rsid w:val="00BE7D2E"/>
    <w:rsid w:val="00BF012B"/>
    <w:rsid w:val="00BF30BE"/>
    <w:rsid w:val="00BF4176"/>
    <w:rsid w:val="00BF436E"/>
    <w:rsid w:val="00BF43C5"/>
    <w:rsid w:val="00BF5036"/>
    <w:rsid w:val="00BF51E1"/>
    <w:rsid w:val="00BF671C"/>
    <w:rsid w:val="00C00888"/>
    <w:rsid w:val="00C05284"/>
    <w:rsid w:val="00C05F02"/>
    <w:rsid w:val="00C07AA8"/>
    <w:rsid w:val="00C1045E"/>
    <w:rsid w:val="00C10893"/>
    <w:rsid w:val="00C11878"/>
    <w:rsid w:val="00C14208"/>
    <w:rsid w:val="00C1443F"/>
    <w:rsid w:val="00C14866"/>
    <w:rsid w:val="00C15896"/>
    <w:rsid w:val="00C15D27"/>
    <w:rsid w:val="00C20088"/>
    <w:rsid w:val="00C219DD"/>
    <w:rsid w:val="00C21C8B"/>
    <w:rsid w:val="00C21E51"/>
    <w:rsid w:val="00C253BB"/>
    <w:rsid w:val="00C27424"/>
    <w:rsid w:val="00C3051B"/>
    <w:rsid w:val="00C30E9A"/>
    <w:rsid w:val="00C31DB6"/>
    <w:rsid w:val="00C37E08"/>
    <w:rsid w:val="00C40982"/>
    <w:rsid w:val="00C41429"/>
    <w:rsid w:val="00C41D62"/>
    <w:rsid w:val="00C43C97"/>
    <w:rsid w:val="00C4466D"/>
    <w:rsid w:val="00C44856"/>
    <w:rsid w:val="00C44FA7"/>
    <w:rsid w:val="00C44FE3"/>
    <w:rsid w:val="00C45897"/>
    <w:rsid w:val="00C45EED"/>
    <w:rsid w:val="00C501C8"/>
    <w:rsid w:val="00C50AA2"/>
    <w:rsid w:val="00C50F7C"/>
    <w:rsid w:val="00C51BC7"/>
    <w:rsid w:val="00C5323D"/>
    <w:rsid w:val="00C53840"/>
    <w:rsid w:val="00C53875"/>
    <w:rsid w:val="00C53A95"/>
    <w:rsid w:val="00C53D96"/>
    <w:rsid w:val="00C546DC"/>
    <w:rsid w:val="00C56664"/>
    <w:rsid w:val="00C56836"/>
    <w:rsid w:val="00C56D7A"/>
    <w:rsid w:val="00C56F31"/>
    <w:rsid w:val="00C60B5F"/>
    <w:rsid w:val="00C614F3"/>
    <w:rsid w:val="00C6220E"/>
    <w:rsid w:val="00C62761"/>
    <w:rsid w:val="00C63097"/>
    <w:rsid w:val="00C63A7B"/>
    <w:rsid w:val="00C63B6B"/>
    <w:rsid w:val="00C66C41"/>
    <w:rsid w:val="00C7004A"/>
    <w:rsid w:val="00C709A4"/>
    <w:rsid w:val="00C71B09"/>
    <w:rsid w:val="00C72D14"/>
    <w:rsid w:val="00C72D40"/>
    <w:rsid w:val="00C7363B"/>
    <w:rsid w:val="00C7388A"/>
    <w:rsid w:val="00C74003"/>
    <w:rsid w:val="00C74F8C"/>
    <w:rsid w:val="00C75493"/>
    <w:rsid w:val="00C75752"/>
    <w:rsid w:val="00C7662F"/>
    <w:rsid w:val="00C77751"/>
    <w:rsid w:val="00C813DA"/>
    <w:rsid w:val="00C83EBD"/>
    <w:rsid w:val="00C85514"/>
    <w:rsid w:val="00C870B1"/>
    <w:rsid w:val="00C870BF"/>
    <w:rsid w:val="00C908BD"/>
    <w:rsid w:val="00C909F6"/>
    <w:rsid w:val="00C90FB5"/>
    <w:rsid w:val="00C91BF9"/>
    <w:rsid w:val="00C91FFC"/>
    <w:rsid w:val="00C921AA"/>
    <w:rsid w:val="00C92857"/>
    <w:rsid w:val="00C93913"/>
    <w:rsid w:val="00C93930"/>
    <w:rsid w:val="00C95D26"/>
    <w:rsid w:val="00C97704"/>
    <w:rsid w:val="00CA02AD"/>
    <w:rsid w:val="00CA1999"/>
    <w:rsid w:val="00CA413E"/>
    <w:rsid w:val="00CA4793"/>
    <w:rsid w:val="00CA5DD5"/>
    <w:rsid w:val="00CB00A6"/>
    <w:rsid w:val="00CB1F87"/>
    <w:rsid w:val="00CB21A4"/>
    <w:rsid w:val="00CB250B"/>
    <w:rsid w:val="00CB2DBC"/>
    <w:rsid w:val="00CB3994"/>
    <w:rsid w:val="00CB429A"/>
    <w:rsid w:val="00CB4AC5"/>
    <w:rsid w:val="00CB5B03"/>
    <w:rsid w:val="00CB5F89"/>
    <w:rsid w:val="00CB6B36"/>
    <w:rsid w:val="00CB71B0"/>
    <w:rsid w:val="00CB7518"/>
    <w:rsid w:val="00CC0F97"/>
    <w:rsid w:val="00CC248D"/>
    <w:rsid w:val="00CC2F14"/>
    <w:rsid w:val="00CC362C"/>
    <w:rsid w:val="00CC3D9B"/>
    <w:rsid w:val="00CC4A97"/>
    <w:rsid w:val="00CD018B"/>
    <w:rsid w:val="00CD01FE"/>
    <w:rsid w:val="00CD1584"/>
    <w:rsid w:val="00CD609F"/>
    <w:rsid w:val="00CD6539"/>
    <w:rsid w:val="00CD7440"/>
    <w:rsid w:val="00CD7C68"/>
    <w:rsid w:val="00CE0C8B"/>
    <w:rsid w:val="00CE0E60"/>
    <w:rsid w:val="00CE139A"/>
    <w:rsid w:val="00CE197B"/>
    <w:rsid w:val="00CE27A6"/>
    <w:rsid w:val="00CE2C6F"/>
    <w:rsid w:val="00CE4D2E"/>
    <w:rsid w:val="00CE4D58"/>
    <w:rsid w:val="00CE5FA8"/>
    <w:rsid w:val="00CE6891"/>
    <w:rsid w:val="00CE7492"/>
    <w:rsid w:val="00CF0C19"/>
    <w:rsid w:val="00CF19F3"/>
    <w:rsid w:val="00CF286D"/>
    <w:rsid w:val="00CF2A93"/>
    <w:rsid w:val="00CF3FF6"/>
    <w:rsid w:val="00CF4A50"/>
    <w:rsid w:val="00CF4D15"/>
    <w:rsid w:val="00CF6DEE"/>
    <w:rsid w:val="00CF7124"/>
    <w:rsid w:val="00CF7296"/>
    <w:rsid w:val="00CF7BC7"/>
    <w:rsid w:val="00CF7D08"/>
    <w:rsid w:val="00D01790"/>
    <w:rsid w:val="00D019D1"/>
    <w:rsid w:val="00D01C23"/>
    <w:rsid w:val="00D046C3"/>
    <w:rsid w:val="00D04CC3"/>
    <w:rsid w:val="00D050B6"/>
    <w:rsid w:val="00D05C59"/>
    <w:rsid w:val="00D0631E"/>
    <w:rsid w:val="00D06622"/>
    <w:rsid w:val="00D07DA0"/>
    <w:rsid w:val="00D10647"/>
    <w:rsid w:val="00D1115F"/>
    <w:rsid w:val="00D11826"/>
    <w:rsid w:val="00D148CF"/>
    <w:rsid w:val="00D14B4E"/>
    <w:rsid w:val="00D14D39"/>
    <w:rsid w:val="00D174E3"/>
    <w:rsid w:val="00D17CFD"/>
    <w:rsid w:val="00D201E0"/>
    <w:rsid w:val="00D203BA"/>
    <w:rsid w:val="00D2081F"/>
    <w:rsid w:val="00D208F8"/>
    <w:rsid w:val="00D21A79"/>
    <w:rsid w:val="00D2201C"/>
    <w:rsid w:val="00D2289F"/>
    <w:rsid w:val="00D22B03"/>
    <w:rsid w:val="00D242E9"/>
    <w:rsid w:val="00D2444E"/>
    <w:rsid w:val="00D245A1"/>
    <w:rsid w:val="00D2494E"/>
    <w:rsid w:val="00D24DA4"/>
    <w:rsid w:val="00D25935"/>
    <w:rsid w:val="00D26B9B"/>
    <w:rsid w:val="00D3039C"/>
    <w:rsid w:val="00D32B72"/>
    <w:rsid w:val="00D33C31"/>
    <w:rsid w:val="00D34221"/>
    <w:rsid w:val="00D34EF1"/>
    <w:rsid w:val="00D36DE5"/>
    <w:rsid w:val="00D40EDD"/>
    <w:rsid w:val="00D42767"/>
    <w:rsid w:val="00D438A1"/>
    <w:rsid w:val="00D45337"/>
    <w:rsid w:val="00D45711"/>
    <w:rsid w:val="00D4751D"/>
    <w:rsid w:val="00D47AB2"/>
    <w:rsid w:val="00D51B4B"/>
    <w:rsid w:val="00D531BC"/>
    <w:rsid w:val="00D54729"/>
    <w:rsid w:val="00D54F9D"/>
    <w:rsid w:val="00D556F6"/>
    <w:rsid w:val="00D561B6"/>
    <w:rsid w:val="00D56290"/>
    <w:rsid w:val="00D5659F"/>
    <w:rsid w:val="00D56EC1"/>
    <w:rsid w:val="00D5703C"/>
    <w:rsid w:val="00D573D2"/>
    <w:rsid w:val="00D57E0C"/>
    <w:rsid w:val="00D607BF"/>
    <w:rsid w:val="00D62239"/>
    <w:rsid w:val="00D6544A"/>
    <w:rsid w:val="00D66CCB"/>
    <w:rsid w:val="00D71393"/>
    <w:rsid w:val="00D7148F"/>
    <w:rsid w:val="00D726AB"/>
    <w:rsid w:val="00D74C52"/>
    <w:rsid w:val="00D81B4B"/>
    <w:rsid w:val="00D8295B"/>
    <w:rsid w:val="00D8467F"/>
    <w:rsid w:val="00D85222"/>
    <w:rsid w:val="00D85784"/>
    <w:rsid w:val="00D85DEE"/>
    <w:rsid w:val="00D85E3F"/>
    <w:rsid w:val="00D91FEF"/>
    <w:rsid w:val="00D94BAD"/>
    <w:rsid w:val="00D94EE7"/>
    <w:rsid w:val="00D9523B"/>
    <w:rsid w:val="00D97835"/>
    <w:rsid w:val="00D9794D"/>
    <w:rsid w:val="00DA202E"/>
    <w:rsid w:val="00DA3036"/>
    <w:rsid w:val="00DA5532"/>
    <w:rsid w:val="00DA6053"/>
    <w:rsid w:val="00DA7E6C"/>
    <w:rsid w:val="00DB0E53"/>
    <w:rsid w:val="00DB1FCD"/>
    <w:rsid w:val="00DB25AB"/>
    <w:rsid w:val="00DB3D2D"/>
    <w:rsid w:val="00DB41C9"/>
    <w:rsid w:val="00DB434D"/>
    <w:rsid w:val="00DB5238"/>
    <w:rsid w:val="00DB6292"/>
    <w:rsid w:val="00DB6C5B"/>
    <w:rsid w:val="00DC0034"/>
    <w:rsid w:val="00DC23E1"/>
    <w:rsid w:val="00DC4C90"/>
    <w:rsid w:val="00DC55BD"/>
    <w:rsid w:val="00DC5720"/>
    <w:rsid w:val="00DC6922"/>
    <w:rsid w:val="00DD07EB"/>
    <w:rsid w:val="00DD0827"/>
    <w:rsid w:val="00DD1BE5"/>
    <w:rsid w:val="00DD1E0B"/>
    <w:rsid w:val="00DD2F96"/>
    <w:rsid w:val="00DD4AA6"/>
    <w:rsid w:val="00DD4D13"/>
    <w:rsid w:val="00DD6485"/>
    <w:rsid w:val="00DD6C7F"/>
    <w:rsid w:val="00DD7B40"/>
    <w:rsid w:val="00DE04F2"/>
    <w:rsid w:val="00DE276B"/>
    <w:rsid w:val="00DE2B6D"/>
    <w:rsid w:val="00DE4444"/>
    <w:rsid w:val="00DE472E"/>
    <w:rsid w:val="00DE5295"/>
    <w:rsid w:val="00DE79D4"/>
    <w:rsid w:val="00DF1431"/>
    <w:rsid w:val="00DF1A5E"/>
    <w:rsid w:val="00DF1B64"/>
    <w:rsid w:val="00DF2816"/>
    <w:rsid w:val="00DF7371"/>
    <w:rsid w:val="00E00364"/>
    <w:rsid w:val="00E012EA"/>
    <w:rsid w:val="00E02CFA"/>
    <w:rsid w:val="00E048D2"/>
    <w:rsid w:val="00E064C9"/>
    <w:rsid w:val="00E06CFB"/>
    <w:rsid w:val="00E12229"/>
    <w:rsid w:val="00E126A9"/>
    <w:rsid w:val="00E136E3"/>
    <w:rsid w:val="00E1483D"/>
    <w:rsid w:val="00E14868"/>
    <w:rsid w:val="00E14FF5"/>
    <w:rsid w:val="00E15634"/>
    <w:rsid w:val="00E163F8"/>
    <w:rsid w:val="00E2083C"/>
    <w:rsid w:val="00E210E1"/>
    <w:rsid w:val="00E21E5A"/>
    <w:rsid w:val="00E24394"/>
    <w:rsid w:val="00E25889"/>
    <w:rsid w:val="00E260E9"/>
    <w:rsid w:val="00E2790A"/>
    <w:rsid w:val="00E27C66"/>
    <w:rsid w:val="00E31B4E"/>
    <w:rsid w:val="00E3341F"/>
    <w:rsid w:val="00E339B0"/>
    <w:rsid w:val="00E36C39"/>
    <w:rsid w:val="00E40655"/>
    <w:rsid w:val="00E4236E"/>
    <w:rsid w:val="00E4356F"/>
    <w:rsid w:val="00E4384F"/>
    <w:rsid w:val="00E453F3"/>
    <w:rsid w:val="00E45A52"/>
    <w:rsid w:val="00E47B5F"/>
    <w:rsid w:val="00E504DE"/>
    <w:rsid w:val="00E528CE"/>
    <w:rsid w:val="00E53B09"/>
    <w:rsid w:val="00E53F95"/>
    <w:rsid w:val="00E56DD4"/>
    <w:rsid w:val="00E56F78"/>
    <w:rsid w:val="00E57CF3"/>
    <w:rsid w:val="00E60A4F"/>
    <w:rsid w:val="00E63AE4"/>
    <w:rsid w:val="00E63E47"/>
    <w:rsid w:val="00E65329"/>
    <w:rsid w:val="00E65F29"/>
    <w:rsid w:val="00E6634C"/>
    <w:rsid w:val="00E66441"/>
    <w:rsid w:val="00E768C8"/>
    <w:rsid w:val="00E81533"/>
    <w:rsid w:val="00E819CE"/>
    <w:rsid w:val="00E8299C"/>
    <w:rsid w:val="00E836B4"/>
    <w:rsid w:val="00E83DB6"/>
    <w:rsid w:val="00E849DA"/>
    <w:rsid w:val="00E84B82"/>
    <w:rsid w:val="00E8643B"/>
    <w:rsid w:val="00E917E9"/>
    <w:rsid w:val="00E9387C"/>
    <w:rsid w:val="00E950AF"/>
    <w:rsid w:val="00E9519D"/>
    <w:rsid w:val="00E95354"/>
    <w:rsid w:val="00E95468"/>
    <w:rsid w:val="00E967C6"/>
    <w:rsid w:val="00E96D70"/>
    <w:rsid w:val="00E96F38"/>
    <w:rsid w:val="00EA0832"/>
    <w:rsid w:val="00EA35A9"/>
    <w:rsid w:val="00EA4F1E"/>
    <w:rsid w:val="00EA572E"/>
    <w:rsid w:val="00EA6821"/>
    <w:rsid w:val="00EA6B82"/>
    <w:rsid w:val="00EA7438"/>
    <w:rsid w:val="00EB06EA"/>
    <w:rsid w:val="00EB130E"/>
    <w:rsid w:val="00EB3187"/>
    <w:rsid w:val="00EB595A"/>
    <w:rsid w:val="00EB78C9"/>
    <w:rsid w:val="00EC03AF"/>
    <w:rsid w:val="00EC1A74"/>
    <w:rsid w:val="00EC2DDB"/>
    <w:rsid w:val="00EC3A0A"/>
    <w:rsid w:val="00EC3A24"/>
    <w:rsid w:val="00EC43A8"/>
    <w:rsid w:val="00EC46D5"/>
    <w:rsid w:val="00EC5854"/>
    <w:rsid w:val="00EC5DE2"/>
    <w:rsid w:val="00EC6237"/>
    <w:rsid w:val="00ED387A"/>
    <w:rsid w:val="00ED3D3E"/>
    <w:rsid w:val="00ED3EBB"/>
    <w:rsid w:val="00ED54C8"/>
    <w:rsid w:val="00ED6C2C"/>
    <w:rsid w:val="00EE2FE5"/>
    <w:rsid w:val="00EE5721"/>
    <w:rsid w:val="00EF1CAE"/>
    <w:rsid w:val="00EF2C1F"/>
    <w:rsid w:val="00EF2C57"/>
    <w:rsid w:val="00EF3DC3"/>
    <w:rsid w:val="00EF4410"/>
    <w:rsid w:val="00EF659C"/>
    <w:rsid w:val="00EF710A"/>
    <w:rsid w:val="00EF71CE"/>
    <w:rsid w:val="00EF7A93"/>
    <w:rsid w:val="00F01461"/>
    <w:rsid w:val="00F015A4"/>
    <w:rsid w:val="00F01C1D"/>
    <w:rsid w:val="00F02185"/>
    <w:rsid w:val="00F03904"/>
    <w:rsid w:val="00F03930"/>
    <w:rsid w:val="00F03DBF"/>
    <w:rsid w:val="00F03DD5"/>
    <w:rsid w:val="00F05F48"/>
    <w:rsid w:val="00F065C8"/>
    <w:rsid w:val="00F10B04"/>
    <w:rsid w:val="00F11AE1"/>
    <w:rsid w:val="00F11C37"/>
    <w:rsid w:val="00F129F2"/>
    <w:rsid w:val="00F1326B"/>
    <w:rsid w:val="00F14823"/>
    <w:rsid w:val="00F16CFD"/>
    <w:rsid w:val="00F17D10"/>
    <w:rsid w:val="00F20591"/>
    <w:rsid w:val="00F205F9"/>
    <w:rsid w:val="00F20EB6"/>
    <w:rsid w:val="00F220E0"/>
    <w:rsid w:val="00F23458"/>
    <w:rsid w:val="00F24353"/>
    <w:rsid w:val="00F24FB8"/>
    <w:rsid w:val="00F265C7"/>
    <w:rsid w:val="00F308B6"/>
    <w:rsid w:val="00F30CFB"/>
    <w:rsid w:val="00F31FD6"/>
    <w:rsid w:val="00F325E3"/>
    <w:rsid w:val="00F32AA1"/>
    <w:rsid w:val="00F32BBB"/>
    <w:rsid w:val="00F342E0"/>
    <w:rsid w:val="00F34660"/>
    <w:rsid w:val="00F349B7"/>
    <w:rsid w:val="00F3636E"/>
    <w:rsid w:val="00F40B0E"/>
    <w:rsid w:val="00F40F63"/>
    <w:rsid w:val="00F4134C"/>
    <w:rsid w:val="00F42EAB"/>
    <w:rsid w:val="00F42EDB"/>
    <w:rsid w:val="00F4361C"/>
    <w:rsid w:val="00F44157"/>
    <w:rsid w:val="00F44F80"/>
    <w:rsid w:val="00F45B1A"/>
    <w:rsid w:val="00F45D66"/>
    <w:rsid w:val="00F46065"/>
    <w:rsid w:val="00F46E13"/>
    <w:rsid w:val="00F475AC"/>
    <w:rsid w:val="00F50015"/>
    <w:rsid w:val="00F50E2F"/>
    <w:rsid w:val="00F5107F"/>
    <w:rsid w:val="00F510AF"/>
    <w:rsid w:val="00F51789"/>
    <w:rsid w:val="00F52B19"/>
    <w:rsid w:val="00F5378E"/>
    <w:rsid w:val="00F53F40"/>
    <w:rsid w:val="00F54FBF"/>
    <w:rsid w:val="00F573AD"/>
    <w:rsid w:val="00F57C01"/>
    <w:rsid w:val="00F60C95"/>
    <w:rsid w:val="00F61368"/>
    <w:rsid w:val="00F624DF"/>
    <w:rsid w:val="00F62D24"/>
    <w:rsid w:val="00F63936"/>
    <w:rsid w:val="00F653F1"/>
    <w:rsid w:val="00F6662E"/>
    <w:rsid w:val="00F66D52"/>
    <w:rsid w:val="00F6740B"/>
    <w:rsid w:val="00F67E68"/>
    <w:rsid w:val="00F67F58"/>
    <w:rsid w:val="00F72D8F"/>
    <w:rsid w:val="00F733E1"/>
    <w:rsid w:val="00F746D2"/>
    <w:rsid w:val="00F75A5D"/>
    <w:rsid w:val="00F76260"/>
    <w:rsid w:val="00F76792"/>
    <w:rsid w:val="00F76BEB"/>
    <w:rsid w:val="00F7765C"/>
    <w:rsid w:val="00F826E8"/>
    <w:rsid w:val="00F82B35"/>
    <w:rsid w:val="00F84279"/>
    <w:rsid w:val="00F867DD"/>
    <w:rsid w:val="00F86D8C"/>
    <w:rsid w:val="00F8761D"/>
    <w:rsid w:val="00F914CC"/>
    <w:rsid w:val="00F9194A"/>
    <w:rsid w:val="00F9346A"/>
    <w:rsid w:val="00F948B9"/>
    <w:rsid w:val="00F94E04"/>
    <w:rsid w:val="00F95535"/>
    <w:rsid w:val="00FA05A3"/>
    <w:rsid w:val="00FA33D9"/>
    <w:rsid w:val="00FA4739"/>
    <w:rsid w:val="00FA4A91"/>
    <w:rsid w:val="00FA5CD6"/>
    <w:rsid w:val="00FA6816"/>
    <w:rsid w:val="00FA6B89"/>
    <w:rsid w:val="00FA7D22"/>
    <w:rsid w:val="00FB2664"/>
    <w:rsid w:val="00FB5CBC"/>
    <w:rsid w:val="00FB619E"/>
    <w:rsid w:val="00FB67F6"/>
    <w:rsid w:val="00FC29F2"/>
    <w:rsid w:val="00FC2EC2"/>
    <w:rsid w:val="00FC35C6"/>
    <w:rsid w:val="00FC5133"/>
    <w:rsid w:val="00FC5C0F"/>
    <w:rsid w:val="00FD4D2D"/>
    <w:rsid w:val="00FD6E2E"/>
    <w:rsid w:val="00FD732F"/>
    <w:rsid w:val="00FD7822"/>
    <w:rsid w:val="00FE0501"/>
    <w:rsid w:val="00FE12E6"/>
    <w:rsid w:val="00FE1D2D"/>
    <w:rsid w:val="00FE2626"/>
    <w:rsid w:val="00FE3E03"/>
    <w:rsid w:val="00FE58E5"/>
    <w:rsid w:val="00FE7D64"/>
    <w:rsid w:val="00FF0560"/>
    <w:rsid w:val="00FF06F1"/>
    <w:rsid w:val="00FF0FF4"/>
    <w:rsid w:val="00FF2A9A"/>
    <w:rsid w:val="00FF2C77"/>
    <w:rsid w:val="00FF35BE"/>
    <w:rsid w:val="00FF3E1A"/>
    <w:rsid w:val="00FF4155"/>
    <w:rsid w:val="00FF5804"/>
    <w:rsid w:val="00FF5929"/>
    <w:rsid w:val="00FF701D"/>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paragraph" w:styleId="Textonotapie">
    <w:name w:val="footnote text"/>
    <w:basedOn w:val="Normal"/>
    <w:link w:val="TextonotapieCar"/>
    <w:uiPriority w:val="99"/>
    <w:semiHidden/>
    <w:unhideWhenUsed/>
    <w:rsid w:val="00D34EF1"/>
    <w:rPr>
      <w:sz w:val="20"/>
      <w:szCs w:val="20"/>
    </w:rPr>
  </w:style>
  <w:style w:type="character" w:customStyle="1" w:styleId="TextonotapieCar">
    <w:name w:val="Texto nota pie Car"/>
    <w:basedOn w:val="Fuentedeprrafopredeter"/>
    <w:link w:val="Textonotapie"/>
    <w:uiPriority w:val="99"/>
    <w:semiHidden/>
    <w:rsid w:val="00D34EF1"/>
    <w:rPr>
      <w:sz w:val="20"/>
      <w:szCs w:val="20"/>
      <w:lang w:val="es-ES_tradnl" w:eastAsia="es-ES"/>
    </w:rPr>
  </w:style>
  <w:style w:type="character" w:styleId="Refdenotaalpie">
    <w:name w:val="footnote reference"/>
    <w:basedOn w:val="Fuentedeprrafopredeter"/>
    <w:uiPriority w:val="99"/>
    <w:semiHidden/>
    <w:unhideWhenUsed/>
    <w:rsid w:val="00D34EF1"/>
    <w:rPr>
      <w:vertAlign w:val="superscript"/>
    </w:rPr>
  </w:style>
  <w:style w:type="paragraph" w:styleId="Textonotaalfinal">
    <w:name w:val="endnote text"/>
    <w:basedOn w:val="Normal"/>
    <w:link w:val="TextonotaalfinalCar"/>
    <w:uiPriority w:val="99"/>
    <w:semiHidden/>
    <w:unhideWhenUsed/>
    <w:rsid w:val="007A2B7F"/>
    <w:rPr>
      <w:sz w:val="20"/>
      <w:szCs w:val="20"/>
    </w:rPr>
  </w:style>
  <w:style w:type="character" w:customStyle="1" w:styleId="TextonotaalfinalCar">
    <w:name w:val="Texto nota al final Car"/>
    <w:basedOn w:val="Fuentedeprrafopredeter"/>
    <w:link w:val="Textonotaalfinal"/>
    <w:uiPriority w:val="99"/>
    <w:semiHidden/>
    <w:rsid w:val="007A2B7F"/>
    <w:rPr>
      <w:sz w:val="20"/>
      <w:szCs w:val="20"/>
      <w:lang w:val="es-ES_tradnl" w:eastAsia="es-ES"/>
    </w:rPr>
  </w:style>
  <w:style w:type="character" w:styleId="Refdenotaalfinal">
    <w:name w:val="endnote reference"/>
    <w:basedOn w:val="Fuentedeprrafopredeter"/>
    <w:uiPriority w:val="99"/>
    <w:semiHidden/>
    <w:unhideWhenUsed/>
    <w:rsid w:val="007A2B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basedOn w:val="Fuentedeprrafopredete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paragraph" w:styleId="Textonotapie">
    <w:name w:val="footnote text"/>
    <w:basedOn w:val="Normal"/>
    <w:link w:val="TextonotapieCar"/>
    <w:uiPriority w:val="99"/>
    <w:semiHidden/>
    <w:unhideWhenUsed/>
    <w:rsid w:val="00D34EF1"/>
    <w:rPr>
      <w:sz w:val="20"/>
      <w:szCs w:val="20"/>
    </w:rPr>
  </w:style>
  <w:style w:type="character" w:customStyle="1" w:styleId="TextonotapieCar">
    <w:name w:val="Texto nota pie Car"/>
    <w:basedOn w:val="Fuentedeprrafopredeter"/>
    <w:link w:val="Textonotapie"/>
    <w:uiPriority w:val="99"/>
    <w:semiHidden/>
    <w:rsid w:val="00D34EF1"/>
    <w:rPr>
      <w:sz w:val="20"/>
      <w:szCs w:val="20"/>
      <w:lang w:val="es-ES_tradnl" w:eastAsia="es-ES"/>
    </w:rPr>
  </w:style>
  <w:style w:type="character" w:styleId="Refdenotaalpie">
    <w:name w:val="footnote reference"/>
    <w:basedOn w:val="Fuentedeprrafopredeter"/>
    <w:uiPriority w:val="99"/>
    <w:semiHidden/>
    <w:unhideWhenUsed/>
    <w:rsid w:val="00D34EF1"/>
    <w:rPr>
      <w:vertAlign w:val="superscript"/>
    </w:rPr>
  </w:style>
  <w:style w:type="paragraph" w:styleId="Textonotaalfinal">
    <w:name w:val="endnote text"/>
    <w:basedOn w:val="Normal"/>
    <w:link w:val="TextonotaalfinalCar"/>
    <w:uiPriority w:val="99"/>
    <w:semiHidden/>
    <w:unhideWhenUsed/>
    <w:rsid w:val="007A2B7F"/>
    <w:rPr>
      <w:sz w:val="20"/>
      <w:szCs w:val="20"/>
    </w:rPr>
  </w:style>
  <w:style w:type="character" w:customStyle="1" w:styleId="TextonotaalfinalCar">
    <w:name w:val="Texto nota al final Car"/>
    <w:basedOn w:val="Fuentedeprrafopredeter"/>
    <w:link w:val="Textonotaalfinal"/>
    <w:uiPriority w:val="99"/>
    <w:semiHidden/>
    <w:rsid w:val="007A2B7F"/>
    <w:rPr>
      <w:sz w:val="20"/>
      <w:szCs w:val="20"/>
      <w:lang w:val="es-ES_tradnl" w:eastAsia="es-ES"/>
    </w:rPr>
  </w:style>
  <w:style w:type="character" w:styleId="Refdenotaalfinal">
    <w:name w:val="endnote reference"/>
    <w:basedOn w:val="Fuentedeprrafopredeter"/>
    <w:uiPriority w:val="99"/>
    <w:semiHidden/>
    <w:unhideWhenUsed/>
    <w:rsid w:val="007A2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63C9-0579-4317-B6E3-B153BB25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23</Pages>
  <Words>5263</Words>
  <Characters>28951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Bárbara Leslie Valdez González</cp:lastModifiedBy>
  <cp:revision>11</cp:revision>
  <cp:lastPrinted>2015-04-27T17:59:00Z</cp:lastPrinted>
  <dcterms:created xsi:type="dcterms:W3CDTF">2015-02-26T22:11:00Z</dcterms:created>
  <dcterms:modified xsi:type="dcterms:W3CDTF">2015-04-29T21:55:00Z</dcterms:modified>
</cp:coreProperties>
</file>