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ABF7C" w14:textId="77777777" w:rsidR="00AD40D6" w:rsidRPr="00AA6960" w:rsidRDefault="00AD40D6" w:rsidP="006F42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201F1E"/>
          <w:shd w:val="clear" w:color="auto" w:fill="FFFFFF"/>
        </w:rPr>
      </w:pPr>
      <w:r w:rsidRPr="00AA6960">
        <w:rPr>
          <w:rFonts w:ascii="Arial" w:hAnsi="Arial" w:cs="Arial"/>
          <w:b/>
          <w:color w:val="201F1E"/>
          <w:shd w:val="clear" w:color="auto" w:fill="FFFFFF"/>
        </w:rPr>
        <w:t>Nombre del Titular de la Unidad de Transparencia</w:t>
      </w:r>
    </w:p>
    <w:p w14:paraId="7FC0BA5B" w14:textId="77777777" w:rsidR="00AD40D6" w:rsidRPr="00AA6960" w:rsidRDefault="00AD40D6" w:rsidP="006F42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201F1E"/>
          <w:shd w:val="clear" w:color="auto" w:fill="FFFFFF"/>
        </w:rPr>
      </w:pPr>
      <w:r w:rsidRPr="00AA6960">
        <w:rPr>
          <w:rFonts w:ascii="Arial" w:hAnsi="Arial" w:cs="Arial"/>
          <w:b/>
          <w:color w:val="201F1E"/>
          <w:shd w:val="clear" w:color="auto" w:fill="FFFFFF"/>
        </w:rPr>
        <w:t>Adscripción</w:t>
      </w:r>
    </w:p>
    <w:p w14:paraId="1FBA2BBF" w14:textId="77777777" w:rsidR="00AD40D6" w:rsidRPr="00AA6960" w:rsidRDefault="00AD40D6" w:rsidP="006F42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201F1E"/>
          <w:shd w:val="clear" w:color="auto" w:fill="FFFFFF"/>
        </w:rPr>
      </w:pPr>
      <w:r w:rsidRPr="00AA6960">
        <w:rPr>
          <w:rFonts w:ascii="Arial" w:hAnsi="Arial" w:cs="Arial"/>
          <w:b/>
          <w:color w:val="201F1E"/>
          <w:shd w:val="clear" w:color="auto" w:fill="FFFFFF"/>
        </w:rPr>
        <w:t xml:space="preserve">Nombre del responsable (sujeto obligado) </w:t>
      </w:r>
    </w:p>
    <w:p w14:paraId="442D0D70" w14:textId="382A7938" w:rsidR="00AD40D6" w:rsidRPr="00AA6960" w:rsidRDefault="00AD40D6" w:rsidP="006F42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201F1E"/>
          <w:shd w:val="clear" w:color="auto" w:fill="FFFFFF"/>
        </w:rPr>
      </w:pPr>
      <w:r w:rsidRPr="00AA6960">
        <w:rPr>
          <w:rFonts w:ascii="Arial" w:hAnsi="Arial" w:cs="Arial"/>
          <w:b/>
          <w:color w:val="201F1E"/>
          <w:shd w:val="clear" w:color="auto" w:fill="FFFFFF"/>
        </w:rPr>
        <w:t>P</w:t>
      </w:r>
      <w:r w:rsidR="00902891">
        <w:rPr>
          <w:rFonts w:ascii="Arial" w:hAnsi="Arial" w:cs="Arial"/>
          <w:b/>
          <w:color w:val="201F1E"/>
          <w:shd w:val="clear" w:color="auto" w:fill="FFFFFF"/>
        </w:rPr>
        <w:t>resente.</w:t>
      </w:r>
    </w:p>
    <w:p w14:paraId="0F694D5E" w14:textId="77777777" w:rsidR="0083500A" w:rsidRPr="00AA6960" w:rsidRDefault="0083500A" w:rsidP="006F42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01F1E"/>
          <w:shd w:val="clear" w:color="auto" w:fill="FFFFFF"/>
        </w:rPr>
      </w:pPr>
    </w:p>
    <w:p w14:paraId="55C9D428" w14:textId="2E619ECE" w:rsidR="00AD40D6" w:rsidRPr="00AA6960" w:rsidRDefault="00AD40D6" w:rsidP="004B1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01F1E"/>
          <w:shd w:val="clear" w:color="auto" w:fill="FFFFFF"/>
        </w:rPr>
      </w:pPr>
      <w:r w:rsidRPr="00AA6960">
        <w:rPr>
          <w:rFonts w:ascii="Arial" w:hAnsi="Arial" w:cs="Arial"/>
          <w:color w:val="201F1E"/>
          <w:shd w:val="clear" w:color="auto" w:fill="FFFFFF"/>
        </w:rPr>
        <w:t>En atención a su solicitud de excepción recibida en esta Dirección General de Evaluación, Investigación y Verificación del Sector Público</w:t>
      </w:r>
      <w:r w:rsidR="004B1B97" w:rsidRPr="00AA6960">
        <w:rPr>
          <w:rFonts w:ascii="Arial" w:hAnsi="Arial" w:cs="Arial"/>
          <w:color w:val="201F1E"/>
          <w:shd w:val="clear" w:color="auto" w:fill="FFFFFF"/>
        </w:rPr>
        <w:t xml:space="preserve"> en fecha </w:t>
      </w:r>
      <w:r w:rsidR="00C96944" w:rsidRPr="00E92128">
        <w:rPr>
          <w:rFonts w:ascii="Arial" w:hAnsi="Arial" w:cs="Arial"/>
          <w:i/>
          <w:iCs/>
          <w:color w:val="4472C4" w:themeColor="accent5"/>
          <w:shd w:val="clear" w:color="auto" w:fill="FFFFFF"/>
        </w:rPr>
        <w:t>dd/mm/aa</w:t>
      </w:r>
      <w:r w:rsidR="006A04AD" w:rsidRPr="00E92128">
        <w:rPr>
          <w:rFonts w:ascii="Arial" w:hAnsi="Arial" w:cs="Arial"/>
          <w:i/>
          <w:iCs/>
          <w:color w:val="4472C4" w:themeColor="accent5"/>
          <w:shd w:val="clear" w:color="auto" w:fill="FFFFFF"/>
        </w:rPr>
        <w:t>a</w:t>
      </w:r>
      <w:r w:rsidR="00C96944" w:rsidRPr="00E92128">
        <w:rPr>
          <w:rFonts w:ascii="Arial" w:hAnsi="Arial" w:cs="Arial"/>
          <w:i/>
          <w:iCs/>
          <w:color w:val="4472C4" w:themeColor="accent5"/>
          <w:shd w:val="clear" w:color="auto" w:fill="FFFFFF"/>
        </w:rPr>
        <w:t>a</w:t>
      </w:r>
      <w:r w:rsidR="004B1B97" w:rsidRPr="00C96944">
        <w:rPr>
          <w:rFonts w:ascii="Arial" w:hAnsi="Arial" w:cs="Arial"/>
          <w:color w:val="201F1E"/>
          <w:shd w:val="clear" w:color="auto" w:fill="FFFFFF"/>
        </w:rPr>
        <w:t>,</w:t>
      </w:r>
      <w:r w:rsidR="004B1B97" w:rsidRPr="00AA6960">
        <w:rPr>
          <w:rFonts w:ascii="Arial" w:hAnsi="Arial" w:cs="Arial"/>
          <w:color w:val="201F1E"/>
          <w:shd w:val="clear" w:color="auto" w:fill="FFFFFF"/>
        </w:rPr>
        <w:t xml:space="preserve"> a través de la cual solicitó la “Autorización de excepción del cumplimiento”</w:t>
      </w:r>
      <w:r w:rsidR="00833A47" w:rsidRPr="00AA6960">
        <w:rPr>
          <w:rFonts w:ascii="Arial" w:hAnsi="Arial" w:cs="Arial"/>
          <w:color w:val="201F1E"/>
          <w:shd w:val="clear" w:color="auto" w:fill="FFFFFF"/>
        </w:rPr>
        <w:t xml:space="preserve"> de los criterios señalados en su </w:t>
      </w:r>
      <w:r w:rsidR="00833A47" w:rsidRPr="00E92128">
        <w:rPr>
          <w:rFonts w:ascii="Arial" w:hAnsi="Arial" w:cs="Arial"/>
          <w:i/>
          <w:iCs/>
          <w:color w:val="4472C4" w:themeColor="accent5"/>
          <w:shd w:val="clear" w:color="auto" w:fill="FFFFFF"/>
        </w:rPr>
        <w:t>oficio número/correo electrónico</w:t>
      </w:r>
      <w:r w:rsidR="00833A47" w:rsidRPr="00814886">
        <w:rPr>
          <w:rFonts w:ascii="Arial" w:hAnsi="Arial" w:cs="Arial"/>
          <w:color w:val="201F1E"/>
          <w:shd w:val="clear" w:color="auto" w:fill="FFFFFF"/>
        </w:rPr>
        <w:t>;</w:t>
      </w:r>
      <w:r w:rsidR="00833A47" w:rsidRPr="00AA6960">
        <w:rPr>
          <w:rFonts w:ascii="Arial" w:hAnsi="Arial" w:cs="Arial"/>
          <w:color w:val="201F1E"/>
          <w:shd w:val="clear" w:color="auto" w:fill="FFFFFF"/>
        </w:rPr>
        <w:t xml:space="preserve"> </w:t>
      </w:r>
      <w:r w:rsidR="004B1B97" w:rsidRPr="00AA6960">
        <w:rPr>
          <w:rFonts w:ascii="Arial" w:hAnsi="Arial" w:cs="Arial"/>
          <w:color w:val="201F1E"/>
          <w:shd w:val="clear" w:color="auto" w:fill="FFFFFF"/>
        </w:rPr>
        <w:t xml:space="preserve">con fundamento en lo establecido en la </w:t>
      </w:r>
      <w:r w:rsidR="00B930C2">
        <w:rPr>
          <w:rFonts w:ascii="Arial" w:hAnsi="Arial" w:cs="Arial"/>
          <w:color w:val="201F1E"/>
          <w:shd w:val="clear" w:color="auto" w:fill="FFFFFF"/>
        </w:rPr>
        <w:t>Décimo quinta regla</w:t>
      </w:r>
      <w:r w:rsidR="004B1B97" w:rsidRPr="00AA6960">
        <w:rPr>
          <w:rFonts w:ascii="Arial" w:hAnsi="Arial" w:cs="Arial"/>
          <w:color w:val="201F1E"/>
          <w:shd w:val="clear" w:color="auto" w:fill="FFFFFF"/>
        </w:rPr>
        <w:t xml:space="preserve"> de las Reglas </w:t>
      </w:r>
      <w:r w:rsidR="00B930C2">
        <w:rPr>
          <w:rFonts w:ascii="Arial" w:hAnsi="Arial" w:cs="Arial"/>
          <w:color w:val="201F1E"/>
          <w:shd w:val="clear" w:color="auto" w:fill="FFFFFF"/>
        </w:rPr>
        <w:t>generales de evaluación</w:t>
      </w:r>
      <w:r w:rsidR="004B1B97" w:rsidRPr="00AA6960">
        <w:rPr>
          <w:rFonts w:ascii="Arial" w:hAnsi="Arial" w:cs="Arial"/>
          <w:color w:val="201F1E"/>
          <w:shd w:val="clear" w:color="auto" w:fill="FFFFFF"/>
        </w:rPr>
        <w:t>, de</w:t>
      </w:r>
      <w:bookmarkStart w:id="0" w:name="_Hlk16673143"/>
      <w:r w:rsidR="004B1B97" w:rsidRPr="00AA6960">
        <w:rPr>
          <w:rFonts w:ascii="Arial" w:hAnsi="Arial" w:cs="Arial"/>
          <w:color w:val="201F1E"/>
          <w:shd w:val="clear" w:color="auto" w:fill="FFFFFF"/>
        </w:rPr>
        <w:t xml:space="preserve"> la </w:t>
      </w:r>
      <w:r w:rsidR="004B1B97" w:rsidRPr="00AA6960">
        <w:rPr>
          <w:rFonts w:ascii="Arial" w:hAnsi="Arial" w:cs="Arial"/>
          <w:i/>
          <w:color w:val="201F1E"/>
          <w:shd w:val="clear" w:color="auto" w:fill="FFFFFF"/>
        </w:rPr>
        <w:t>M</w:t>
      </w:r>
      <w:r w:rsidR="004B1B97" w:rsidRPr="00AA6960">
        <w:rPr>
          <w:rFonts w:ascii="Arial" w:hAnsi="Arial" w:cs="Arial"/>
          <w:i/>
        </w:rPr>
        <w:t>etodología, criterios</w:t>
      </w:r>
      <w:r w:rsidR="00B930C2">
        <w:rPr>
          <w:rFonts w:ascii="Arial" w:hAnsi="Arial" w:cs="Arial"/>
          <w:i/>
        </w:rPr>
        <w:t>, formatos</w:t>
      </w:r>
      <w:r w:rsidR="004B1B97" w:rsidRPr="00AA6960">
        <w:rPr>
          <w:rFonts w:ascii="Arial" w:hAnsi="Arial" w:cs="Arial"/>
          <w:i/>
        </w:rPr>
        <w:t xml:space="preserve"> e indicadores en materia de evaluación del desempeño de los responsables respecto al cumplimiento de la Ley General de Protección de Datos Personales en Posesión de Sujetos Obligados</w:t>
      </w:r>
      <w:bookmarkEnd w:id="0"/>
      <w:r w:rsidR="004B1B97" w:rsidRPr="00AA6960">
        <w:rPr>
          <w:rFonts w:ascii="Arial" w:hAnsi="Arial" w:cs="Arial"/>
          <w:i/>
        </w:rPr>
        <w:t xml:space="preserve"> y demás disposiciones que resulten aplicables en</w:t>
      </w:r>
      <w:r w:rsidR="004B1B97" w:rsidRPr="00AA6960">
        <w:rPr>
          <w:rFonts w:ascii="Arial" w:hAnsi="Arial" w:cs="Arial"/>
          <w:i/>
          <w:color w:val="201F1E"/>
          <w:shd w:val="clear" w:color="auto" w:fill="FFFFFF"/>
        </w:rPr>
        <w:t xml:space="preserve"> la materia</w:t>
      </w:r>
      <w:r w:rsidR="00F67369" w:rsidRPr="00AA6960">
        <w:rPr>
          <w:rFonts w:ascii="Arial" w:hAnsi="Arial" w:cs="Arial"/>
          <w:i/>
          <w:color w:val="201F1E"/>
          <w:shd w:val="clear" w:color="auto" w:fill="FFFFFF"/>
        </w:rPr>
        <w:t xml:space="preserve"> </w:t>
      </w:r>
      <w:r w:rsidR="00F67369" w:rsidRPr="00AA6960">
        <w:rPr>
          <w:rFonts w:ascii="Arial" w:hAnsi="Arial" w:cs="Arial"/>
          <w:color w:val="201F1E"/>
          <w:shd w:val="clear" w:color="auto" w:fill="FFFFFF"/>
        </w:rPr>
        <w:t>(Documento Técnico de Evaluación)</w:t>
      </w:r>
      <w:r w:rsidR="004B1B97" w:rsidRPr="00AA6960">
        <w:rPr>
          <w:rFonts w:ascii="Arial" w:hAnsi="Arial" w:cs="Arial"/>
          <w:color w:val="201F1E"/>
          <w:shd w:val="clear" w:color="auto" w:fill="FFFFFF"/>
        </w:rPr>
        <w:t xml:space="preserve">, se le </w:t>
      </w:r>
      <w:r w:rsidR="00865019" w:rsidRPr="00AA6960">
        <w:rPr>
          <w:rFonts w:ascii="Arial" w:hAnsi="Arial" w:cs="Arial"/>
          <w:color w:val="201F1E"/>
          <w:shd w:val="clear" w:color="auto" w:fill="FFFFFF"/>
        </w:rPr>
        <w:t>comunica</w:t>
      </w:r>
      <w:r w:rsidR="004B1B97" w:rsidRPr="00AA6960">
        <w:rPr>
          <w:rFonts w:ascii="Arial" w:hAnsi="Arial" w:cs="Arial"/>
          <w:color w:val="201F1E"/>
          <w:shd w:val="clear" w:color="auto" w:fill="FFFFFF"/>
        </w:rPr>
        <w:t xml:space="preserve"> que se </w:t>
      </w:r>
      <w:r w:rsidR="00E92128">
        <w:rPr>
          <w:rFonts w:ascii="Arial" w:hAnsi="Arial" w:cs="Arial"/>
          <w:color w:val="201F1E"/>
          <w:shd w:val="clear" w:color="auto" w:fill="FFFFFF"/>
        </w:rPr>
        <w:t>determinó</w:t>
      </w:r>
      <w:r w:rsidR="004B1B97" w:rsidRPr="00AA6960">
        <w:rPr>
          <w:rFonts w:ascii="Arial" w:hAnsi="Arial" w:cs="Arial"/>
          <w:color w:val="201F1E"/>
          <w:shd w:val="clear" w:color="auto" w:fill="FFFFFF"/>
        </w:rPr>
        <w:t xml:space="preserve"> lo siguiente: </w:t>
      </w:r>
    </w:p>
    <w:p w14:paraId="3ADCE789" w14:textId="77777777" w:rsidR="00833A47" w:rsidRDefault="00833A47" w:rsidP="00E6463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01F1E"/>
          <w:shd w:val="clear" w:color="auto" w:fill="FFFFFF"/>
        </w:rPr>
      </w:pPr>
    </w:p>
    <w:tbl>
      <w:tblPr>
        <w:tblStyle w:val="Tablaconcuadrcula"/>
        <w:tblW w:w="8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90"/>
      </w:tblGrid>
      <w:tr w:rsidR="00E64630" w14:paraId="0A5F6FAC" w14:textId="77777777" w:rsidTr="00BD3D11">
        <w:tc>
          <w:tcPr>
            <w:tcW w:w="1985" w:type="dxa"/>
          </w:tcPr>
          <w:p w14:paraId="47AB46EA" w14:textId="77777777" w:rsidR="00E64630" w:rsidRDefault="00E64630" w:rsidP="00BD3D1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</w:pPr>
            <w:r w:rsidRPr="00AA6960">
              <w:rPr>
                <w:rFonts w:ascii="Arial" w:hAnsi="Arial" w:cs="Arial"/>
                <w:b/>
                <w:color w:val="201F1E"/>
                <w:shd w:val="clear" w:color="auto" w:fill="FFFFFF"/>
              </w:rPr>
              <w:t>Autorización</w:t>
            </w:r>
            <w:r>
              <w:rPr>
                <w:rFonts w:ascii="Arial" w:hAnsi="Arial" w:cs="Arial"/>
                <w:b/>
                <w:color w:val="201F1E"/>
                <w:shd w:val="clear" w:color="auto" w:fill="FFFFFF"/>
              </w:rPr>
              <w:t xml:space="preserve"> de excepción</w:t>
            </w:r>
            <w:r w:rsidRPr="00AA6960">
              <w:rPr>
                <w:rFonts w:ascii="Arial" w:hAnsi="Arial" w:cs="Arial"/>
                <w:b/>
                <w:color w:val="201F1E"/>
                <w:shd w:val="clear" w:color="auto" w:fill="FFFFFF"/>
              </w:rPr>
              <w:t>:</w:t>
            </w:r>
          </w:p>
        </w:tc>
        <w:tc>
          <w:tcPr>
            <w:tcW w:w="6990" w:type="dxa"/>
          </w:tcPr>
          <w:p w14:paraId="10CC582D" w14:textId="77777777" w:rsidR="00E64630" w:rsidRPr="00E64630" w:rsidRDefault="00E64630" w:rsidP="00E64630">
            <w:pPr>
              <w:autoSpaceDE w:val="0"/>
              <w:autoSpaceDN w:val="0"/>
              <w:adjustRightInd w:val="0"/>
              <w:spacing w:line="360" w:lineRule="auto"/>
              <w:ind w:left="28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AA6960">
              <w:rPr>
                <w:rFonts w:ascii="Arial" w:hAnsi="Arial" w:cs="Arial"/>
                <w:color w:val="201F1E"/>
                <w:shd w:val="clear" w:color="auto" w:fill="FFFFFF"/>
              </w:rPr>
              <w:t xml:space="preserve">Respecto de los siguientes criterios se le informa que resulta procedente la </w:t>
            </w:r>
            <w:r w:rsidRPr="00AA6960">
              <w:rPr>
                <w:rFonts w:ascii="Arial" w:hAnsi="Arial" w:cs="Arial"/>
                <w:b/>
                <w:color w:val="201F1E"/>
                <w:shd w:val="clear" w:color="auto" w:fill="FFFFFF"/>
              </w:rPr>
              <w:t>“Autorización de excepción del cumplimiento”</w:t>
            </w:r>
            <w:r w:rsidRPr="00AA6960">
              <w:rPr>
                <w:rFonts w:ascii="Arial" w:hAnsi="Arial" w:cs="Arial"/>
                <w:color w:val="201F1E"/>
                <w:shd w:val="clear" w:color="auto" w:fill="FFFFFF"/>
              </w:rPr>
              <w:t xml:space="preserve">, </w:t>
            </w:r>
            <w:r w:rsidRPr="00AA6960">
              <w:rPr>
                <w:rFonts w:ascii="Arial" w:hAnsi="Arial" w:cs="Arial"/>
              </w:rPr>
              <w:t>durante el presente periodo de evaluación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0A4BCB3E" w14:textId="77777777" w:rsidR="00833A47" w:rsidRPr="00AA6960" w:rsidRDefault="00833A47" w:rsidP="004B1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01F1E"/>
          <w:shd w:val="clear" w:color="auto" w:fill="FFFFFF"/>
        </w:rPr>
      </w:pPr>
    </w:p>
    <w:tbl>
      <w:tblPr>
        <w:tblStyle w:val="Tablaconcuadrcula"/>
        <w:tblpPr w:leftFromText="141" w:rightFromText="141" w:vertAnchor="text" w:tblpY="40"/>
        <w:tblW w:w="0" w:type="auto"/>
        <w:tblLook w:val="04A0" w:firstRow="1" w:lastRow="0" w:firstColumn="1" w:lastColumn="0" w:noHBand="0" w:noVBand="1"/>
      </w:tblPr>
      <w:tblGrid>
        <w:gridCol w:w="4673"/>
        <w:gridCol w:w="4155"/>
      </w:tblGrid>
      <w:tr w:rsidR="00AA6960" w:rsidRPr="00AA6960" w14:paraId="6CAF37BD" w14:textId="77777777" w:rsidTr="00E92128">
        <w:trPr>
          <w:trHeight w:val="841"/>
        </w:trPr>
        <w:tc>
          <w:tcPr>
            <w:tcW w:w="4673" w:type="dxa"/>
            <w:shd w:val="clear" w:color="auto" w:fill="C0C0C0"/>
            <w:vAlign w:val="center"/>
          </w:tcPr>
          <w:p w14:paraId="18C0AE04" w14:textId="77777777" w:rsidR="00AA6960" w:rsidRPr="00AA6960" w:rsidRDefault="00AA6960" w:rsidP="003C7DA5">
            <w:pPr>
              <w:jc w:val="center"/>
              <w:rPr>
                <w:rFonts w:ascii="Arial" w:hAnsi="Arial" w:cs="Arial"/>
                <w:b/>
              </w:rPr>
            </w:pPr>
            <w:r w:rsidRPr="00AA6960">
              <w:rPr>
                <w:rFonts w:ascii="Arial" w:hAnsi="Arial" w:cs="Arial"/>
                <w:b/>
              </w:rPr>
              <w:t>Criterios que cuentan con “Autorización de excepción del cumplimiento” durante la evaluación en curso</w:t>
            </w:r>
          </w:p>
        </w:tc>
        <w:tc>
          <w:tcPr>
            <w:tcW w:w="4155" w:type="dxa"/>
            <w:shd w:val="clear" w:color="auto" w:fill="C0C0C0"/>
            <w:vAlign w:val="center"/>
          </w:tcPr>
          <w:p w14:paraId="32E0948A" w14:textId="77777777" w:rsidR="00AA6960" w:rsidRPr="00AA6960" w:rsidRDefault="00AA6960" w:rsidP="003C7DA5">
            <w:pPr>
              <w:jc w:val="center"/>
              <w:rPr>
                <w:rFonts w:ascii="Arial" w:hAnsi="Arial" w:cs="Arial"/>
                <w:b/>
              </w:rPr>
            </w:pPr>
            <w:r w:rsidRPr="00AA6960">
              <w:rPr>
                <w:rFonts w:ascii="Arial" w:hAnsi="Arial" w:cs="Arial"/>
                <w:b/>
              </w:rPr>
              <w:t>Observaciones adicionales</w:t>
            </w:r>
          </w:p>
        </w:tc>
      </w:tr>
      <w:tr w:rsidR="00AA6960" w:rsidRPr="00AA6960" w14:paraId="38B2A8B8" w14:textId="77777777" w:rsidTr="00E92128">
        <w:tc>
          <w:tcPr>
            <w:tcW w:w="4673" w:type="dxa"/>
            <w:vAlign w:val="center"/>
          </w:tcPr>
          <w:p w14:paraId="18FA440D" w14:textId="77777777" w:rsidR="00AA6960" w:rsidRPr="00AA6960" w:rsidRDefault="00AA6960" w:rsidP="003C7D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  <w:tc>
          <w:tcPr>
            <w:tcW w:w="4155" w:type="dxa"/>
            <w:vAlign w:val="center"/>
          </w:tcPr>
          <w:p w14:paraId="541159E6" w14:textId="77777777" w:rsidR="00AA6960" w:rsidRPr="00AA6960" w:rsidRDefault="00AA6960" w:rsidP="003C7D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</w:tr>
      <w:tr w:rsidR="00AA6960" w:rsidRPr="00AA6960" w14:paraId="4B2619DC" w14:textId="77777777" w:rsidTr="00E92128">
        <w:tc>
          <w:tcPr>
            <w:tcW w:w="4673" w:type="dxa"/>
            <w:vAlign w:val="center"/>
          </w:tcPr>
          <w:p w14:paraId="38FF5E5B" w14:textId="77777777" w:rsidR="00AA6960" w:rsidRPr="00AA6960" w:rsidRDefault="00AA6960" w:rsidP="003C7D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  <w:tc>
          <w:tcPr>
            <w:tcW w:w="4155" w:type="dxa"/>
            <w:vAlign w:val="center"/>
          </w:tcPr>
          <w:p w14:paraId="37D395C9" w14:textId="77777777" w:rsidR="00AA6960" w:rsidRPr="00AA6960" w:rsidRDefault="00AA6960" w:rsidP="003C7D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</w:tr>
      <w:tr w:rsidR="00AA6960" w:rsidRPr="00AA6960" w14:paraId="32739CE6" w14:textId="77777777" w:rsidTr="00E92128">
        <w:tc>
          <w:tcPr>
            <w:tcW w:w="4673" w:type="dxa"/>
            <w:vAlign w:val="center"/>
          </w:tcPr>
          <w:p w14:paraId="0FBADE99" w14:textId="77777777" w:rsidR="00AA6960" w:rsidRPr="00AA6960" w:rsidRDefault="00AA6960" w:rsidP="003C7D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  <w:tc>
          <w:tcPr>
            <w:tcW w:w="4155" w:type="dxa"/>
            <w:vAlign w:val="center"/>
          </w:tcPr>
          <w:p w14:paraId="0EFA469D" w14:textId="77777777" w:rsidR="00B02DB5" w:rsidRPr="00AA6960" w:rsidRDefault="00B02DB5" w:rsidP="003C7D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</w:tr>
      <w:tr w:rsidR="00305A0E" w14:paraId="36DA4EBB" w14:textId="77777777" w:rsidTr="00E92128">
        <w:tc>
          <w:tcPr>
            <w:tcW w:w="4673" w:type="dxa"/>
            <w:vAlign w:val="center"/>
          </w:tcPr>
          <w:p w14:paraId="1856EF4F" w14:textId="77777777" w:rsidR="00305A0E" w:rsidRPr="00AA6960" w:rsidRDefault="00305A0E" w:rsidP="00305A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  <w:tc>
          <w:tcPr>
            <w:tcW w:w="4155" w:type="dxa"/>
            <w:vAlign w:val="center"/>
          </w:tcPr>
          <w:p w14:paraId="5A2775AD" w14:textId="77777777" w:rsidR="00305A0E" w:rsidRPr="00AA6960" w:rsidRDefault="00305A0E" w:rsidP="00305A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</w:tr>
      <w:tr w:rsidR="00305A0E" w14:paraId="7C87952B" w14:textId="77777777" w:rsidTr="00E92128">
        <w:tc>
          <w:tcPr>
            <w:tcW w:w="4673" w:type="dxa"/>
            <w:vAlign w:val="center"/>
          </w:tcPr>
          <w:p w14:paraId="700B3073" w14:textId="77777777" w:rsidR="00305A0E" w:rsidRPr="00AA6960" w:rsidRDefault="00305A0E" w:rsidP="00305A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  <w:tc>
          <w:tcPr>
            <w:tcW w:w="4155" w:type="dxa"/>
            <w:vAlign w:val="center"/>
          </w:tcPr>
          <w:p w14:paraId="784EA7C8" w14:textId="77777777" w:rsidR="00305A0E" w:rsidRPr="00AA6960" w:rsidRDefault="00305A0E" w:rsidP="00305A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</w:tr>
      <w:tr w:rsidR="00305A0E" w14:paraId="030730FF" w14:textId="77777777" w:rsidTr="00E92128">
        <w:tc>
          <w:tcPr>
            <w:tcW w:w="4673" w:type="dxa"/>
            <w:vAlign w:val="center"/>
          </w:tcPr>
          <w:p w14:paraId="78729A03" w14:textId="77777777" w:rsidR="00305A0E" w:rsidRDefault="00305A0E" w:rsidP="00305A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55" w:type="dxa"/>
            <w:vAlign w:val="center"/>
          </w:tcPr>
          <w:p w14:paraId="5F8B6DFB" w14:textId="77777777" w:rsidR="00305A0E" w:rsidRDefault="00305A0E" w:rsidP="00305A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</w:pPr>
          </w:p>
        </w:tc>
      </w:tr>
    </w:tbl>
    <w:p w14:paraId="45EF4EF3" w14:textId="77777777" w:rsidR="003C7DA5" w:rsidRDefault="003C7DA5" w:rsidP="003C7DA5">
      <w:pPr>
        <w:spacing w:after="0" w:line="360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08B48F7C" w14:textId="777CCF65" w:rsidR="00B02DB5" w:rsidRPr="006A04AD" w:rsidRDefault="00E92128" w:rsidP="00EF2C49">
      <w:pPr>
        <w:spacing w:after="0" w:line="360" w:lineRule="auto"/>
        <w:jc w:val="both"/>
        <w:rPr>
          <w:rFonts w:ascii="Arial" w:hAnsi="Arial" w:cs="Arial"/>
          <w:color w:val="201F1E"/>
          <w:shd w:val="clear" w:color="auto" w:fill="FFFFFF"/>
        </w:rPr>
      </w:pPr>
      <w:r>
        <w:rPr>
          <w:rFonts w:ascii="Arial" w:hAnsi="Arial" w:cs="Arial"/>
        </w:rPr>
        <w:lastRenderedPageBreak/>
        <w:t>Al respecto,</w:t>
      </w:r>
      <w:r w:rsidR="00407CF3" w:rsidRPr="006A04AD">
        <w:rPr>
          <w:rFonts w:ascii="Arial" w:hAnsi="Arial" w:cs="Arial"/>
        </w:rPr>
        <w:t xml:space="preserve"> </w:t>
      </w:r>
      <w:r w:rsidR="003C7DA5" w:rsidRPr="006A04AD">
        <w:rPr>
          <w:rFonts w:ascii="Arial" w:hAnsi="Arial" w:cs="Arial"/>
        </w:rPr>
        <w:t>se precisa que</w:t>
      </w:r>
      <w:r w:rsidR="00F67369" w:rsidRPr="006A04AD">
        <w:rPr>
          <w:rFonts w:ascii="Arial" w:hAnsi="Arial" w:cs="Arial"/>
        </w:rPr>
        <w:t xml:space="preserve"> </w:t>
      </w:r>
      <w:r w:rsidR="00EF2C49" w:rsidRPr="006A04AD">
        <w:rPr>
          <w:rFonts w:ascii="Arial" w:hAnsi="Arial" w:cs="Arial"/>
        </w:rPr>
        <w:t xml:space="preserve">cuenta con </w:t>
      </w:r>
      <w:r w:rsidR="00B02DB5" w:rsidRPr="006A04AD">
        <w:rPr>
          <w:rFonts w:ascii="Arial" w:hAnsi="Arial" w:cs="Arial"/>
          <w:b/>
        </w:rPr>
        <w:t>2</w:t>
      </w:r>
      <w:r w:rsidR="00B10F9D" w:rsidRPr="006A04AD">
        <w:rPr>
          <w:rFonts w:ascii="Arial" w:hAnsi="Arial" w:cs="Arial"/>
          <w:b/>
        </w:rPr>
        <w:t xml:space="preserve"> días hábiles</w:t>
      </w:r>
      <w:r w:rsidR="00EF2C49" w:rsidRPr="006A04AD">
        <w:rPr>
          <w:rFonts w:ascii="Arial" w:hAnsi="Arial" w:cs="Arial"/>
        </w:rPr>
        <w:t xml:space="preserve"> a partir de la </w:t>
      </w:r>
      <w:r>
        <w:rPr>
          <w:rFonts w:ascii="Arial" w:hAnsi="Arial" w:cs="Arial"/>
        </w:rPr>
        <w:t>fecha de entrega</w:t>
      </w:r>
      <w:r w:rsidR="00EF2C49" w:rsidRPr="006A04AD">
        <w:rPr>
          <w:rFonts w:ascii="Arial" w:hAnsi="Arial" w:cs="Arial"/>
        </w:rPr>
        <w:t xml:space="preserve"> del presente oficio, para </w:t>
      </w:r>
      <w:r>
        <w:rPr>
          <w:rFonts w:ascii="Arial" w:hAnsi="Arial" w:cs="Arial"/>
        </w:rPr>
        <w:t xml:space="preserve">publicar, respecto de </w:t>
      </w:r>
      <w:r w:rsidR="00EF2C49" w:rsidRPr="006A04AD">
        <w:rPr>
          <w:rFonts w:ascii="Arial" w:hAnsi="Arial" w:cs="Arial"/>
        </w:rPr>
        <w:t xml:space="preserve">cada uno los criterios señalados previamente, </w:t>
      </w:r>
      <w:r w:rsidR="00F67369" w:rsidRPr="006A04AD">
        <w:rPr>
          <w:rFonts w:ascii="Arial" w:hAnsi="Arial" w:cs="Arial"/>
        </w:rPr>
        <w:t xml:space="preserve">el presente oficio a fin de que sea considerada </w:t>
      </w:r>
      <w:r w:rsidR="00EF2C49" w:rsidRPr="006A04AD">
        <w:rPr>
          <w:rFonts w:ascii="Arial" w:hAnsi="Arial" w:cs="Arial"/>
        </w:rPr>
        <w:t xml:space="preserve">la </w:t>
      </w:r>
      <w:r w:rsidR="00A67BCB" w:rsidRPr="006A04AD">
        <w:rPr>
          <w:rFonts w:ascii="Arial" w:hAnsi="Arial" w:cs="Arial"/>
        </w:rPr>
        <w:t>actual</w:t>
      </w:r>
      <w:r w:rsidR="0077086C" w:rsidRPr="006A04AD">
        <w:rPr>
          <w:rFonts w:ascii="Arial" w:hAnsi="Arial" w:cs="Arial"/>
        </w:rPr>
        <w:t xml:space="preserve"> </w:t>
      </w:r>
      <w:r w:rsidR="00F67369" w:rsidRPr="006A04AD">
        <w:rPr>
          <w:rFonts w:ascii="Arial" w:hAnsi="Arial" w:cs="Arial"/>
        </w:rPr>
        <w:t>autorización</w:t>
      </w:r>
      <w:r w:rsidR="00A67BCB" w:rsidRPr="006A04AD">
        <w:rPr>
          <w:rFonts w:ascii="Arial" w:hAnsi="Arial" w:cs="Arial"/>
        </w:rPr>
        <w:t xml:space="preserve"> </w:t>
      </w:r>
      <w:r w:rsidR="00A67BCB" w:rsidRPr="006A04AD">
        <w:rPr>
          <w:rFonts w:ascii="Arial" w:hAnsi="Arial" w:cs="Arial"/>
          <w:color w:val="201F1E"/>
          <w:shd w:val="clear" w:color="auto" w:fill="FFFFFF"/>
        </w:rPr>
        <w:t>de excepción del cumplimiento</w:t>
      </w:r>
      <w:r w:rsidR="00B02DB5" w:rsidRPr="006A04AD">
        <w:rPr>
          <w:rFonts w:ascii="Arial" w:hAnsi="Arial" w:cs="Arial"/>
          <w:color w:val="201F1E"/>
          <w:shd w:val="clear" w:color="auto" w:fill="FFFFFF"/>
        </w:rPr>
        <w:t>.</w:t>
      </w:r>
    </w:p>
    <w:p w14:paraId="11F12BF1" w14:textId="3EC628C3" w:rsidR="00833A47" w:rsidRPr="006A04AD" w:rsidRDefault="00B02DB5" w:rsidP="00B02DB5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6A04AD">
        <w:rPr>
          <w:rFonts w:ascii="Arial" w:hAnsi="Arial" w:cs="Arial"/>
          <w:sz w:val="22"/>
          <w:szCs w:val="22"/>
        </w:rPr>
        <w:t xml:space="preserve">Cabe destacar que la falta de la publicación por parte del responsable de la </w:t>
      </w:r>
      <w:r w:rsidR="00E92128">
        <w:rPr>
          <w:rFonts w:ascii="Arial" w:hAnsi="Arial" w:cs="Arial"/>
          <w:sz w:val="22"/>
          <w:szCs w:val="22"/>
        </w:rPr>
        <w:t xml:space="preserve">presente </w:t>
      </w:r>
      <w:r w:rsidRPr="006A04AD">
        <w:rPr>
          <w:rFonts w:ascii="Arial" w:hAnsi="Arial" w:cs="Arial"/>
          <w:sz w:val="22"/>
          <w:szCs w:val="22"/>
        </w:rPr>
        <w:t xml:space="preserve">autorización de excepción </w:t>
      </w:r>
      <w:r w:rsidR="00700716" w:rsidRPr="006A04AD">
        <w:rPr>
          <w:rFonts w:ascii="Arial" w:hAnsi="Arial" w:cs="Arial"/>
          <w:sz w:val="22"/>
          <w:szCs w:val="22"/>
        </w:rPr>
        <w:t xml:space="preserve">del cumplimiento </w:t>
      </w:r>
      <w:r w:rsidRPr="006A04AD">
        <w:rPr>
          <w:rFonts w:ascii="Arial" w:hAnsi="Arial" w:cs="Arial"/>
          <w:sz w:val="22"/>
          <w:szCs w:val="22"/>
        </w:rPr>
        <w:t>se considerará como el incumplimiento del o los criterios señalados, por lo que se evaluará como “no cumple (0)”</w:t>
      </w:r>
      <w:r w:rsidR="00E92128">
        <w:rPr>
          <w:rFonts w:ascii="Arial" w:hAnsi="Arial" w:cs="Arial"/>
          <w:sz w:val="22"/>
          <w:szCs w:val="22"/>
        </w:rPr>
        <w:t>;</w:t>
      </w:r>
      <w:r w:rsidR="00F67369" w:rsidRPr="006A04AD">
        <w:rPr>
          <w:rFonts w:ascii="Arial" w:hAnsi="Arial" w:cs="Arial"/>
          <w:sz w:val="22"/>
          <w:szCs w:val="22"/>
        </w:rPr>
        <w:t xml:space="preserve"> </w:t>
      </w:r>
      <w:r w:rsidR="00EF2C49" w:rsidRPr="006A04AD">
        <w:rPr>
          <w:rFonts w:ascii="Arial" w:hAnsi="Arial" w:cs="Arial"/>
          <w:sz w:val="22"/>
          <w:szCs w:val="22"/>
        </w:rPr>
        <w:t xml:space="preserve">de conformidad con lo establecido en el numeral IV, de la </w:t>
      </w:r>
      <w:r w:rsidR="00B930C2" w:rsidRPr="006A04AD">
        <w:rPr>
          <w:rFonts w:ascii="Arial" w:hAnsi="Arial" w:cs="Arial"/>
          <w:color w:val="201F1E"/>
          <w:sz w:val="22"/>
          <w:szCs w:val="22"/>
          <w:shd w:val="clear" w:color="auto" w:fill="FFFFFF"/>
        </w:rPr>
        <w:t>Décimo quinta</w:t>
      </w:r>
      <w:r w:rsidR="00EF2C49" w:rsidRPr="006A04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regla de las Reglas </w:t>
      </w:r>
      <w:r w:rsidR="00B930C2" w:rsidRPr="006A04AD">
        <w:rPr>
          <w:rFonts w:ascii="Arial" w:hAnsi="Arial" w:cs="Arial"/>
          <w:color w:val="201F1E"/>
          <w:sz w:val="22"/>
          <w:szCs w:val="22"/>
          <w:shd w:val="clear" w:color="auto" w:fill="FFFFFF"/>
        </w:rPr>
        <w:t>generales de evaluación</w:t>
      </w:r>
      <w:r w:rsidR="006D00BC" w:rsidRPr="006A04AD">
        <w:rPr>
          <w:rFonts w:ascii="Arial" w:hAnsi="Arial" w:cs="Arial"/>
          <w:color w:val="201F1E"/>
          <w:sz w:val="22"/>
          <w:szCs w:val="22"/>
          <w:shd w:val="clear" w:color="auto" w:fill="FFFFFF"/>
        </w:rPr>
        <w:t>,</w:t>
      </w:r>
      <w:r w:rsidR="00EF2C49" w:rsidRPr="006A04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del Documento Técnico de Evaluación. </w:t>
      </w:r>
    </w:p>
    <w:p w14:paraId="6C2F7040" w14:textId="77777777" w:rsidR="00561912" w:rsidRPr="0077086C" w:rsidRDefault="00561912" w:rsidP="00EF2C49">
      <w:pPr>
        <w:spacing w:after="0" w:line="360" w:lineRule="auto"/>
        <w:jc w:val="both"/>
        <w:rPr>
          <w:rFonts w:cstheme="minorHAnsi"/>
        </w:rPr>
      </w:pPr>
    </w:p>
    <w:tbl>
      <w:tblPr>
        <w:tblStyle w:val="Tablaconcuadrcula"/>
        <w:tblW w:w="8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90"/>
      </w:tblGrid>
      <w:tr w:rsidR="00E64630" w14:paraId="364CB44B" w14:textId="77777777" w:rsidTr="00E64630">
        <w:tc>
          <w:tcPr>
            <w:tcW w:w="1985" w:type="dxa"/>
          </w:tcPr>
          <w:p w14:paraId="72F22DD3" w14:textId="77777777" w:rsidR="00E64630" w:rsidRDefault="00E64630" w:rsidP="00E6463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01F1E"/>
                <w:shd w:val="clear" w:color="auto" w:fill="FFFFFF"/>
              </w:rPr>
              <w:t xml:space="preserve">Negativa de </w:t>
            </w:r>
            <w:r w:rsidRPr="00AA6960">
              <w:rPr>
                <w:rFonts w:ascii="Arial" w:hAnsi="Arial" w:cs="Arial"/>
                <w:b/>
                <w:color w:val="201F1E"/>
                <w:shd w:val="clear" w:color="auto" w:fill="FFFFFF"/>
              </w:rPr>
              <w:t>Autorización</w:t>
            </w:r>
            <w:r>
              <w:rPr>
                <w:rFonts w:ascii="Arial" w:hAnsi="Arial" w:cs="Arial"/>
                <w:b/>
                <w:color w:val="201F1E"/>
                <w:shd w:val="clear" w:color="auto" w:fill="FFFFFF"/>
              </w:rPr>
              <w:t xml:space="preserve"> de excepción</w:t>
            </w:r>
            <w:r w:rsidRPr="00AA6960">
              <w:rPr>
                <w:rFonts w:ascii="Arial" w:hAnsi="Arial" w:cs="Arial"/>
                <w:b/>
                <w:color w:val="201F1E"/>
                <w:shd w:val="clear" w:color="auto" w:fill="FFFFFF"/>
              </w:rPr>
              <w:t>:</w:t>
            </w:r>
          </w:p>
        </w:tc>
        <w:tc>
          <w:tcPr>
            <w:tcW w:w="6990" w:type="dxa"/>
          </w:tcPr>
          <w:p w14:paraId="4FD4EB1E" w14:textId="77777777" w:rsidR="00E64630" w:rsidRPr="00561912" w:rsidRDefault="00E64630" w:rsidP="00561912">
            <w:pPr>
              <w:autoSpaceDE w:val="0"/>
              <w:autoSpaceDN w:val="0"/>
              <w:adjustRightInd w:val="0"/>
              <w:spacing w:line="360" w:lineRule="auto"/>
              <w:ind w:left="28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AA6960">
              <w:rPr>
                <w:rFonts w:ascii="Arial" w:hAnsi="Arial" w:cs="Arial"/>
                <w:color w:val="201F1E"/>
                <w:shd w:val="clear" w:color="auto" w:fill="FFFFFF"/>
              </w:rPr>
              <w:t xml:space="preserve">Respecto de los siguientes criterios se le informa que, </w:t>
            </w:r>
            <w:r w:rsidR="00561912">
              <w:rPr>
                <w:rFonts w:ascii="Arial" w:hAnsi="Arial" w:cs="Arial"/>
                <w:color w:val="201F1E"/>
                <w:shd w:val="clear" w:color="auto" w:fill="FFFFFF"/>
              </w:rPr>
              <w:t xml:space="preserve">no </w:t>
            </w:r>
            <w:r w:rsidRPr="00AA6960">
              <w:rPr>
                <w:rFonts w:ascii="Arial" w:hAnsi="Arial" w:cs="Arial"/>
                <w:color w:val="201F1E"/>
                <w:shd w:val="clear" w:color="auto" w:fill="FFFFFF"/>
              </w:rPr>
              <w:t xml:space="preserve">resulta procedente la </w:t>
            </w:r>
            <w:r w:rsidRPr="00561912">
              <w:rPr>
                <w:rFonts w:ascii="Arial" w:hAnsi="Arial" w:cs="Arial"/>
                <w:color w:val="201F1E"/>
                <w:shd w:val="clear" w:color="auto" w:fill="FFFFFF"/>
              </w:rPr>
              <w:t>“Autorización de excepción del cumplimiento”,</w:t>
            </w:r>
            <w:r w:rsidRPr="00AA6960">
              <w:rPr>
                <w:rFonts w:ascii="Arial" w:hAnsi="Arial" w:cs="Arial"/>
                <w:color w:val="201F1E"/>
                <w:shd w:val="clear" w:color="auto" w:fill="FFFFFF"/>
              </w:rPr>
              <w:t xml:space="preserve"> </w:t>
            </w:r>
            <w:r w:rsidRPr="00AA6960">
              <w:rPr>
                <w:rFonts w:ascii="Arial" w:hAnsi="Arial" w:cs="Arial"/>
              </w:rPr>
              <w:t xml:space="preserve">durante el presente periodo de evaluación: </w:t>
            </w:r>
          </w:p>
        </w:tc>
      </w:tr>
    </w:tbl>
    <w:p w14:paraId="37AD6548" w14:textId="77777777" w:rsidR="00561912" w:rsidRDefault="00561912" w:rsidP="0056191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tbl>
      <w:tblPr>
        <w:tblStyle w:val="Tablaconcuadrcula"/>
        <w:tblpPr w:leftFromText="141" w:rightFromText="141" w:vertAnchor="text" w:tblpY="40"/>
        <w:tblW w:w="0" w:type="auto"/>
        <w:tblLook w:val="04A0" w:firstRow="1" w:lastRow="0" w:firstColumn="1" w:lastColumn="0" w:noHBand="0" w:noVBand="1"/>
      </w:tblPr>
      <w:tblGrid>
        <w:gridCol w:w="4673"/>
        <w:gridCol w:w="4155"/>
      </w:tblGrid>
      <w:tr w:rsidR="00561912" w:rsidRPr="00AA6960" w14:paraId="301CA807" w14:textId="77777777" w:rsidTr="00E92128">
        <w:trPr>
          <w:trHeight w:val="1130"/>
        </w:trPr>
        <w:tc>
          <w:tcPr>
            <w:tcW w:w="4673" w:type="dxa"/>
            <w:shd w:val="clear" w:color="auto" w:fill="C0C0C0"/>
            <w:vAlign w:val="center"/>
          </w:tcPr>
          <w:p w14:paraId="1213524D" w14:textId="77777777" w:rsidR="00561912" w:rsidRPr="00AA6960" w:rsidRDefault="00561912" w:rsidP="00BD3D11">
            <w:pPr>
              <w:jc w:val="center"/>
              <w:rPr>
                <w:rFonts w:ascii="Arial" w:hAnsi="Arial" w:cs="Arial"/>
                <w:b/>
              </w:rPr>
            </w:pPr>
            <w:r w:rsidRPr="00AA6960">
              <w:rPr>
                <w:rFonts w:ascii="Arial" w:hAnsi="Arial" w:cs="Arial"/>
                <w:b/>
              </w:rPr>
              <w:t>Criterios que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64630">
              <w:rPr>
                <w:rFonts w:ascii="Arial" w:hAnsi="Arial" w:cs="Arial"/>
                <w:b/>
                <w:u w:val="single"/>
              </w:rPr>
              <w:t>no</w:t>
            </w:r>
            <w:r w:rsidRPr="00AA6960">
              <w:rPr>
                <w:rFonts w:ascii="Arial" w:hAnsi="Arial" w:cs="Arial"/>
                <w:b/>
              </w:rPr>
              <w:t xml:space="preserve"> cuentan </w:t>
            </w:r>
            <w:r w:rsidR="00B02DB5">
              <w:rPr>
                <w:rFonts w:ascii="Arial" w:hAnsi="Arial" w:cs="Arial"/>
                <w:b/>
              </w:rPr>
              <w:t xml:space="preserve">con </w:t>
            </w:r>
            <w:r w:rsidRPr="00AA6960">
              <w:rPr>
                <w:rFonts w:ascii="Arial" w:hAnsi="Arial" w:cs="Arial"/>
                <w:b/>
              </w:rPr>
              <w:t>“Autorización de excepción del cumplimiento” durante la evaluación en curso</w:t>
            </w:r>
          </w:p>
        </w:tc>
        <w:tc>
          <w:tcPr>
            <w:tcW w:w="4155" w:type="dxa"/>
            <w:shd w:val="clear" w:color="auto" w:fill="C0C0C0"/>
            <w:vAlign w:val="center"/>
          </w:tcPr>
          <w:p w14:paraId="0A4910F8" w14:textId="77777777" w:rsidR="00561912" w:rsidRPr="00AA6960" w:rsidRDefault="00561912" w:rsidP="00BD3D11">
            <w:pPr>
              <w:jc w:val="center"/>
              <w:rPr>
                <w:rFonts w:ascii="Arial" w:hAnsi="Arial" w:cs="Arial"/>
                <w:b/>
              </w:rPr>
            </w:pPr>
            <w:r w:rsidRPr="00AA6960">
              <w:rPr>
                <w:rFonts w:ascii="Arial" w:hAnsi="Arial" w:cs="Arial"/>
                <w:b/>
              </w:rPr>
              <w:t>Observaciones adicionales</w:t>
            </w:r>
          </w:p>
        </w:tc>
      </w:tr>
      <w:tr w:rsidR="00561912" w:rsidRPr="00AA6960" w14:paraId="219D8073" w14:textId="77777777" w:rsidTr="00E92128">
        <w:tc>
          <w:tcPr>
            <w:tcW w:w="4673" w:type="dxa"/>
            <w:vAlign w:val="center"/>
          </w:tcPr>
          <w:p w14:paraId="5666D548" w14:textId="77777777" w:rsidR="00561912" w:rsidRPr="00AA6960" w:rsidRDefault="00561912" w:rsidP="00BD3D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  <w:tc>
          <w:tcPr>
            <w:tcW w:w="4155" w:type="dxa"/>
            <w:vAlign w:val="center"/>
          </w:tcPr>
          <w:p w14:paraId="42110299" w14:textId="77777777" w:rsidR="00561912" w:rsidRPr="00AA6960" w:rsidRDefault="00561912" w:rsidP="00BD3D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</w:tr>
      <w:tr w:rsidR="00561912" w:rsidRPr="00AA6960" w14:paraId="1C811013" w14:textId="77777777" w:rsidTr="00E92128">
        <w:tc>
          <w:tcPr>
            <w:tcW w:w="4673" w:type="dxa"/>
            <w:vAlign w:val="center"/>
          </w:tcPr>
          <w:p w14:paraId="32557F97" w14:textId="77777777" w:rsidR="00561912" w:rsidRPr="00AA6960" w:rsidRDefault="00561912" w:rsidP="00BD3D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  <w:tc>
          <w:tcPr>
            <w:tcW w:w="4155" w:type="dxa"/>
            <w:vAlign w:val="center"/>
          </w:tcPr>
          <w:p w14:paraId="150C8618" w14:textId="77777777" w:rsidR="00561912" w:rsidRPr="00AA6960" w:rsidRDefault="00561912" w:rsidP="00BD3D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</w:tr>
      <w:tr w:rsidR="00561912" w:rsidRPr="00AA6960" w14:paraId="7A6AA9C8" w14:textId="77777777" w:rsidTr="00E92128">
        <w:tc>
          <w:tcPr>
            <w:tcW w:w="4673" w:type="dxa"/>
            <w:vAlign w:val="center"/>
          </w:tcPr>
          <w:p w14:paraId="1E527C13" w14:textId="77777777" w:rsidR="00561912" w:rsidRPr="00AA6960" w:rsidRDefault="00561912" w:rsidP="00BD3D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  <w:tc>
          <w:tcPr>
            <w:tcW w:w="4155" w:type="dxa"/>
            <w:vAlign w:val="center"/>
          </w:tcPr>
          <w:p w14:paraId="5D6EB034" w14:textId="77777777" w:rsidR="00561912" w:rsidRPr="00AA6960" w:rsidRDefault="00561912" w:rsidP="00BD3D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</w:tr>
      <w:tr w:rsidR="00305A0E" w14:paraId="775C2419" w14:textId="77777777" w:rsidTr="00E92128">
        <w:tc>
          <w:tcPr>
            <w:tcW w:w="4673" w:type="dxa"/>
            <w:vAlign w:val="center"/>
          </w:tcPr>
          <w:p w14:paraId="69005743" w14:textId="77777777" w:rsidR="00305A0E" w:rsidRPr="00AA6960" w:rsidRDefault="00305A0E" w:rsidP="00305A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  <w:tc>
          <w:tcPr>
            <w:tcW w:w="4155" w:type="dxa"/>
            <w:vAlign w:val="center"/>
          </w:tcPr>
          <w:p w14:paraId="4D209E0D" w14:textId="77777777" w:rsidR="00305A0E" w:rsidRPr="00AA6960" w:rsidRDefault="00305A0E" w:rsidP="00305A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</w:tr>
      <w:tr w:rsidR="00305A0E" w14:paraId="22A52127" w14:textId="77777777" w:rsidTr="00E92128">
        <w:tc>
          <w:tcPr>
            <w:tcW w:w="4673" w:type="dxa"/>
            <w:vAlign w:val="center"/>
          </w:tcPr>
          <w:p w14:paraId="24E1C8F2" w14:textId="77777777" w:rsidR="00305A0E" w:rsidRPr="00AA6960" w:rsidRDefault="00305A0E" w:rsidP="00305A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  <w:tc>
          <w:tcPr>
            <w:tcW w:w="4155" w:type="dxa"/>
            <w:vAlign w:val="center"/>
          </w:tcPr>
          <w:p w14:paraId="04E6BB1E" w14:textId="77777777" w:rsidR="00305A0E" w:rsidRPr="00AA6960" w:rsidRDefault="00305A0E" w:rsidP="00305A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</w:tr>
      <w:tr w:rsidR="00305A0E" w14:paraId="7DB4F1DD" w14:textId="77777777" w:rsidTr="00E92128">
        <w:tc>
          <w:tcPr>
            <w:tcW w:w="4673" w:type="dxa"/>
            <w:vAlign w:val="center"/>
          </w:tcPr>
          <w:p w14:paraId="33F591F0" w14:textId="77777777" w:rsidR="00305A0E" w:rsidRPr="00AA6960" w:rsidRDefault="00305A0E" w:rsidP="00305A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  <w:tc>
          <w:tcPr>
            <w:tcW w:w="4155" w:type="dxa"/>
            <w:vAlign w:val="center"/>
          </w:tcPr>
          <w:p w14:paraId="6EEC6393" w14:textId="77777777" w:rsidR="00305A0E" w:rsidRPr="00AA6960" w:rsidRDefault="00305A0E" w:rsidP="00305A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</w:p>
        </w:tc>
      </w:tr>
    </w:tbl>
    <w:p w14:paraId="21AFA80B" w14:textId="77777777" w:rsidR="00561912" w:rsidRDefault="00561912" w:rsidP="0056191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6ACE721B" w14:textId="1F0CA4F9" w:rsidR="006F4203" w:rsidRDefault="00561912" w:rsidP="002D131C">
      <w:pPr>
        <w:tabs>
          <w:tab w:val="left" w:pos="5387"/>
        </w:tabs>
        <w:spacing w:after="0" w:line="360" w:lineRule="auto"/>
        <w:jc w:val="both"/>
        <w:rPr>
          <w:rFonts w:ascii="Arial" w:hAnsi="Arial" w:cs="Arial"/>
          <w:color w:val="201F1E"/>
          <w:shd w:val="clear" w:color="auto" w:fill="FFFFFF"/>
        </w:rPr>
      </w:pPr>
      <w:r w:rsidRPr="00305A0E">
        <w:rPr>
          <w:rFonts w:ascii="Arial" w:hAnsi="Arial" w:cs="Arial"/>
          <w:color w:val="201F1E"/>
          <w:shd w:val="clear" w:color="auto" w:fill="FFFFFF"/>
        </w:rPr>
        <w:t xml:space="preserve">Sobre los criterios señalados previamente, a los cuales les fue negada la autorización de excepción </w:t>
      </w:r>
      <w:r w:rsidR="00C37E95" w:rsidRPr="00305A0E">
        <w:rPr>
          <w:rFonts w:ascii="Arial" w:hAnsi="Arial" w:cs="Arial"/>
          <w:color w:val="201F1E"/>
          <w:shd w:val="clear" w:color="auto" w:fill="FFFFFF"/>
        </w:rPr>
        <w:t xml:space="preserve">de cumplimiento, se le comunica que de conformidad con </w:t>
      </w:r>
      <w:r w:rsidR="00C37E95" w:rsidRPr="00305A0E">
        <w:rPr>
          <w:rFonts w:ascii="Arial" w:hAnsi="Arial" w:cs="Arial"/>
        </w:rPr>
        <w:t xml:space="preserve">lo establecido en el numeral III, de la </w:t>
      </w:r>
      <w:r w:rsidR="00B930C2">
        <w:rPr>
          <w:rFonts w:ascii="Arial" w:hAnsi="Arial" w:cs="Arial"/>
          <w:color w:val="201F1E"/>
          <w:shd w:val="clear" w:color="auto" w:fill="FFFFFF"/>
        </w:rPr>
        <w:t>Décimo quinta</w:t>
      </w:r>
      <w:r w:rsidR="00C37E95" w:rsidRPr="00305A0E">
        <w:rPr>
          <w:rFonts w:ascii="Arial" w:hAnsi="Arial" w:cs="Arial"/>
          <w:color w:val="201F1E"/>
          <w:shd w:val="clear" w:color="auto" w:fill="FFFFFF"/>
        </w:rPr>
        <w:t xml:space="preserve"> regla de las Reglas </w:t>
      </w:r>
      <w:r w:rsidR="00B930C2">
        <w:rPr>
          <w:rFonts w:ascii="Arial" w:hAnsi="Arial" w:cs="Arial"/>
          <w:color w:val="201F1E"/>
          <w:shd w:val="clear" w:color="auto" w:fill="FFFFFF"/>
        </w:rPr>
        <w:t>g</w:t>
      </w:r>
      <w:r w:rsidR="00C37E95" w:rsidRPr="00305A0E">
        <w:rPr>
          <w:rFonts w:ascii="Arial" w:hAnsi="Arial" w:cs="Arial"/>
          <w:color w:val="201F1E"/>
          <w:shd w:val="clear" w:color="auto" w:fill="FFFFFF"/>
        </w:rPr>
        <w:t xml:space="preserve">enerales </w:t>
      </w:r>
      <w:r w:rsidR="00B930C2">
        <w:rPr>
          <w:rFonts w:ascii="Arial" w:hAnsi="Arial" w:cs="Arial"/>
          <w:color w:val="201F1E"/>
          <w:shd w:val="clear" w:color="auto" w:fill="FFFFFF"/>
        </w:rPr>
        <w:t>de evaluación</w:t>
      </w:r>
      <w:r w:rsidR="00A67BCB">
        <w:rPr>
          <w:rFonts w:ascii="Arial" w:hAnsi="Arial" w:cs="Arial"/>
          <w:color w:val="201F1E"/>
          <w:shd w:val="clear" w:color="auto" w:fill="FFFFFF"/>
        </w:rPr>
        <w:t xml:space="preserve"> </w:t>
      </w:r>
      <w:r w:rsidR="00C37E95" w:rsidRPr="00305A0E">
        <w:rPr>
          <w:rFonts w:ascii="Arial" w:hAnsi="Arial" w:cs="Arial"/>
          <w:color w:val="201F1E"/>
          <w:shd w:val="clear" w:color="auto" w:fill="FFFFFF"/>
        </w:rPr>
        <w:t xml:space="preserve">del Documento Técnico de Evaluación, </w:t>
      </w:r>
      <w:r w:rsidR="00B02DB5">
        <w:rPr>
          <w:rFonts w:ascii="Arial" w:hAnsi="Arial" w:cs="Arial"/>
          <w:b/>
          <w:color w:val="201F1E"/>
          <w:u w:val="single"/>
          <w:shd w:val="clear" w:color="auto" w:fill="FFFFFF"/>
        </w:rPr>
        <w:t>el</w:t>
      </w:r>
      <w:r w:rsidR="00C37E95" w:rsidRPr="00305A0E">
        <w:rPr>
          <w:rFonts w:ascii="Arial" w:hAnsi="Arial" w:cs="Arial"/>
          <w:b/>
          <w:color w:val="201F1E"/>
          <w:u w:val="single"/>
          <w:shd w:val="clear" w:color="auto" w:fill="FFFFFF"/>
        </w:rPr>
        <w:t xml:space="preserve"> sujeto obligado </w:t>
      </w:r>
      <w:r w:rsidR="00C37E95" w:rsidRPr="00305A0E">
        <w:rPr>
          <w:rFonts w:ascii="Arial" w:hAnsi="Arial" w:cs="Arial"/>
          <w:b/>
          <w:u w:val="single"/>
        </w:rPr>
        <w:t xml:space="preserve">mantiene vigente la </w:t>
      </w:r>
      <w:r w:rsidR="00C37E95" w:rsidRPr="00305A0E">
        <w:rPr>
          <w:rFonts w:ascii="Arial" w:hAnsi="Arial" w:cs="Arial"/>
          <w:b/>
          <w:u w:val="single"/>
        </w:rPr>
        <w:lastRenderedPageBreak/>
        <w:t>responsabilidad de cumplir con el/los criterio/s en los términos establecidos en el Documento Técnico de Evaluación,</w:t>
      </w:r>
      <w:r w:rsidR="00C37E95" w:rsidRPr="00305A0E">
        <w:rPr>
          <w:rFonts w:ascii="Arial" w:hAnsi="Arial" w:cs="Arial"/>
        </w:rPr>
        <w:t xml:space="preserve"> para lo cual cuenta con un periodo máximo </w:t>
      </w:r>
      <w:r w:rsidR="00B02DB5" w:rsidRPr="006A04AD">
        <w:rPr>
          <w:rFonts w:ascii="Arial" w:hAnsi="Arial" w:cs="Arial"/>
        </w:rPr>
        <w:t>de</w:t>
      </w:r>
      <w:r w:rsidR="00B02DB5">
        <w:rPr>
          <w:rFonts w:ascii="Arial" w:hAnsi="Arial" w:cs="Arial"/>
          <w:b/>
        </w:rPr>
        <w:t xml:space="preserve"> 5 </w:t>
      </w:r>
      <w:r w:rsidR="00C37E95" w:rsidRPr="00B02DB5">
        <w:rPr>
          <w:rFonts w:ascii="Arial" w:hAnsi="Arial" w:cs="Arial"/>
          <w:b/>
        </w:rPr>
        <w:t>días hábiles</w:t>
      </w:r>
      <w:r w:rsidR="00C37E95" w:rsidRPr="00305A0E">
        <w:rPr>
          <w:rFonts w:ascii="Arial" w:hAnsi="Arial" w:cs="Arial"/>
        </w:rPr>
        <w:t xml:space="preserve">, contados a partir de la </w:t>
      </w:r>
      <w:r w:rsidR="00E92128">
        <w:rPr>
          <w:rFonts w:ascii="Arial" w:hAnsi="Arial" w:cs="Arial"/>
        </w:rPr>
        <w:t xml:space="preserve">entrega </w:t>
      </w:r>
      <w:r w:rsidR="00C37E95" w:rsidRPr="00305A0E">
        <w:rPr>
          <w:rFonts w:ascii="Arial" w:hAnsi="Arial" w:cs="Arial"/>
        </w:rPr>
        <w:t xml:space="preserve">del presente oficio, para publicar la información correspondiente y, para el caso que no </w:t>
      </w:r>
      <w:r w:rsidR="00E92128">
        <w:rPr>
          <w:rFonts w:ascii="Arial" w:hAnsi="Arial" w:cs="Arial"/>
        </w:rPr>
        <w:t>realice esta acción</w:t>
      </w:r>
      <w:r w:rsidR="00C37E95" w:rsidRPr="00305A0E">
        <w:rPr>
          <w:rFonts w:ascii="Arial" w:hAnsi="Arial" w:cs="Arial"/>
        </w:rPr>
        <w:t xml:space="preserve"> en el plazo señalado</w:t>
      </w:r>
      <w:r w:rsidR="00A6759F">
        <w:rPr>
          <w:rFonts w:ascii="Arial" w:hAnsi="Arial" w:cs="Arial"/>
        </w:rPr>
        <w:t>,</w:t>
      </w:r>
      <w:r w:rsidR="00C37E95" w:rsidRPr="00305A0E">
        <w:rPr>
          <w:rFonts w:ascii="Arial" w:hAnsi="Arial" w:cs="Arial"/>
        </w:rPr>
        <w:t xml:space="preserve"> se considerará como el incumplimiento de el o los criterios</w:t>
      </w:r>
      <w:r w:rsidR="00576E19">
        <w:rPr>
          <w:rFonts w:ascii="Arial" w:hAnsi="Arial" w:cs="Arial"/>
        </w:rPr>
        <w:t xml:space="preserve"> correspondientes</w:t>
      </w:r>
      <w:r w:rsidR="00C37E95" w:rsidRPr="00305A0E">
        <w:rPr>
          <w:rFonts w:ascii="Arial" w:hAnsi="Arial" w:cs="Arial"/>
        </w:rPr>
        <w:t xml:space="preserve">, por lo que </w:t>
      </w:r>
      <w:r w:rsidR="00576E19">
        <w:rPr>
          <w:rFonts w:ascii="Arial" w:hAnsi="Arial" w:cs="Arial"/>
        </w:rPr>
        <w:t xml:space="preserve">cada omisión </w:t>
      </w:r>
      <w:r w:rsidR="00C37E95" w:rsidRPr="00305A0E">
        <w:rPr>
          <w:rFonts w:ascii="Arial" w:hAnsi="Arial" w:cs="Arial"/>
        </w:rPr>
        <w:t>se evaluará como “no cumple (0)” .</w:t>
      </w:r>
    </w:p>
    <w:p w14:paraId="0CFC53EC" w14:textId="77777777" w:rsidR="00A13D85" w:rsidRPr="00A13D85" w:rsidRDefault="00A13D85" w:rsidP="00A13D85">
      <w:pPr>
        <w:spacing w:after="0" w:line="360" w:lineRule="auto"/>
        <w:jc w:val="both"/>
        <w:rPr>
          <w:rFonts w:ascii="Arial" w:hAnsi="Arial" w:cs="Arial"/>
          <w:color w:val="201F1E"/>
          <w:shd w:val="clear" w:color="auto" w:fill="FFFFFF"/>
        </w:rPr>
      </w:pPr>
    </w:p>
    <w:p w14:paraId="472C3D9B" w14:textId="77777777" w:rsidR="00CB569C" w:rsidRDefault="00CB569C" w:rsidP="00AE24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Sin más por el momento, reciba un cordial saludo.</w:t>
      </w:r>
    </w:p>
    <w:p w14:paraId="074437FB" w14:textId="77777777" w:rsidR="00CB569C" w:rsidRDefault="00CB569C" w:rsidP="00AE24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5F245566" w14:textId="77777777" w:rsidR="006F4203" w:rsidRDefault="006F4203" w:rsidP="002D131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2D131C">
        <w:rPr>
          <w:rFonts w:ascii="Arial" w:hAnsi="Arial" w:cs="Arial"/>
          <w:b/>
          <w:color w:val="000000"/>
        </w:rPr>
        <w:t>Atentamente</w:t>
      </w:r>
    </w:p>
    <w:p w14:paraId="0FED1342" w14:textId="77777777" w:rsidR="002D131C" w:rsidRDefault="002D131C" w:rsidP="002D131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15087F5B" w14:textId="77777777" w:rsidR="002D131C" w:rsidRPr="002D131C" w:rsidRDefault="002D131C" w:rsidP="002D131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020A7844" w14:textId="77777777" w:rsidR="006F4203" w:rsidRDefault="006F4203" w:rsidP="002D131C">
      <w:pPr>
        <w:jc w:val="center"/>
        <w:rPr>
          <w:rFonts w:ascii="Arial" w:hAnsi="Arial" w:cs="Arial"/>
          <w:bCs/>
          <w:color w:val="201F1E"/>
          <w:bdr w:val="none" w:sz="0" w:space="0" w:color="auto" w:frame="1"/>
          <w:shd w:val="clear" w:color="auto" w:fill="FFFFFF"/>
        </w:rPr>
      </w:pPr>
      <w:r w:rsidRPr="006F4203">
        <w:rPr>
          <w:rFonts w:ascii="Arial" w:hAnsi="Arial" w:cs="Arial"/>
          <w:bCs/>
          <w:color w:val="201F1E"/>
          <w:bdr w:val="none" w:sz="0" w:space="0" w:color="auto" w:frame="1"/>
          <w:shd w:val="clear" w:color="auto" w:fill="FFFFFF"/>
        </w:rPr>
        <w:t>____________________________________</w:t>
      </w:r>
    </w:p>
    <w:p w14:paraId="7F662899" w14:textId="2E14074C" w:rsidR="00E92128" w:rsidRDefault="00E92128" w:rsidP="002D131C">
      <w:pPr>
        <w:tabs>
          <w:tab w:val="left" w:pos="5245"/>
        </w:tabs>
        <w:spacing w:after="120"/>
        <w:ind w:left="1843" w:right="14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Mtro. César Manuel Vallarta Paredes</w:t>
      </w:r>
    </w:p>
    <w:p w14:paraId="66B470A3" w14:textId="4321B694" w:rsidR="002D131C" w:rsidRPr="002D131C" w:rsidRDefault="002D131C" w:rsidP="002D131C">
      <w:pPr>
        <w:tabs>
          <w:tab w:val="left" w:pos="5245"/>
        </w:tabs>
        <w:spacing w:after="120"/>
        <w:ind w:left="1843" w:right="14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Director </w:t>
      </w:r>
      <w:r w:rsidRPr="002D131C">
        <w:rPr>
          <w:rFonts w:ascii="Arial" w:hAnsi="Arial" w:cs="Arial"/>
          <w:b/>
        </w:rPr>
        <w:t xml:space="preserve">General </w:t>
      </w:r>
      <w:r>
        <w:rPr>
          <w:rFonts w:ascii="Arial" w:hAnsi="Arial" w:cs="Arial"/>
          <w:b/>
        </w:rPr>
        <w:t>d</w:t>
      </w:r>
      <w:r w:rsidRPr="002D131C">
        <w:rPr>
          <w:rFonts w:ascii="Arial" w:hAnsi="Arial" w:cs="Arial"/>
          <w:b/>
        </w:rPr>
        <w:t xml:space="preserve">e Evaluación, Investigación </w:t>
      </w:r>
      <w:r>
        <w:rPr>
          <w:rFonts w:ascii="Arial" w:hAnsi="Arial" w:cs="Arial"/>
          <w:b/>
        </w:rPr>
        <w:t>y</w:t>
      </w:r>
      <w:r w:rsidRPr="002D131C">
        <w:rPr>
          <w:rFonts w:ascii="Arial" w:hAnsi="Arial" w:cs="Arial"/>
          <w:b/>
        </w:rPr>
        <w:t xml:space="preserve"> Verificación </w:t>
      </w:r>
      <w:r>
        <w:rPr>
          <w:rFonts w:ascii="Arial" w:hAnsi="Arial" w:cs="Arial"/>
          <w:b/>
        </w:rPr>
        <w:t>d</w:t>
      </w:r>
      <w:r w:rsidRPr="002D131C">
        <w:rPr>
          <w:rFonts w:ascii="Arial" w:hAnsi="Arial" w:cs="Arial"/>
          <w:b/>
        </w:rPr>
        <w:t>el Sector Público</w:t>
      </w:r>
    </w:p>
    <w:p w14:paraId="3352164D" w14:textId="77777777" w:rsidR="00AE2443" w:rsidRPr="006F4203" w:rsidRDefault="00AE2443" w:rsidP="002D131C">
      <w:pPr>
        <w:jc w:val="center"/>
        <w:rPr>
          <w:rFonts w:ascii="Arial" w:hAnsi="Arial" w:cs="Arial"/>
        </w:rPr>
      </w:pPr>
    </w:p>
    <w:sectPr w:rsidR="00AE2443" w:rsidRPr="006F420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B1353" w14:textId="77777777" w:rsidR="00CD2CA1" w:rsidRDefault="00CD2CA1" w:rsidP="00081767">
      <w:pPr>
        <w:spacing w:after="0" w:line="240" w:lineRule="auto"/>
      </w:pPr>
      <w:r>
        <w:separator/>
      </w:r>
    </w:p>
  </w:endnote>
  <w:endnote w:type="continuationSeparator" w:id="0">
    <w:p w14:paraId="565AF4B7" w14:textId="77777777" w:rsidR="00CD2CA1" w:rsidRDefault="00CD2CA1" w:rsidP="0008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0407972"/>
      <w:docPartObj>
        <w:docPartGallery w:val="Page Numbers (Bottom of Page)"/>
        <w:docPartUnique/>
      </w:docPartObj>
    </w:sdtPr>
    <w:sdtEndPr/>
    <w:sdtContent>
      <w:p w14:paraId="09099598" w14:textId="77777777" w:rsidR="00FC5347" w:rsidRDefault="00FC534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4AD" w:rsidRPr="006A04AD">
          <w:rPr>
            <w:noProof/>
            <w:lang w:val="es-ES"/>
          </w:rPr>
          <w:t>1</w:t>
        </w:r>
        <w:r>
          <w:fldChar w:fldCharType="end"/>
        </w:r>
      </w:p>
    </w:sdtContent>
  </w:sdt>
  <w:p w14:paraId="4FBC90FB" w14:textId="77777777" w:rsidR="00FC5347" w:rsidRDefault="00FC53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B5160" w14:textId="77777777" w:rsidR="00CD2CA1" w:rsidRDefault="00CD2CA1" w:rsidP="00081767">
      <w:pPr>
        <w:spacing w:after="0" w:line="240" w:lineRule="auto"/>
      </w:pPr>
      <w:r>
        <w:separator/>
      </w:r>
    </w:p>
  </w:footnote>
  <w:footnote w:type="continuationSeparator" w:id="0">
    <w:p w14:paraId="176F1954" w14:textId="77777777" w:rsidR="00CD2CA1" w:rsidRDefault="00CD2CA1" w:rsidP="00081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EFD0D" w14:textId="77777777" w:rsidR="00081767" w:rsidRDefault="00081767" w:rsidP="00081767">
    <w:pPr>
      <w:tabs>
        <w:tab w:val="left" w:pos="5245"/>
      </w:tabs>
      <w:spacing w:after="120"/>
      <w:ind w:left="4820" w:right="-1227"/>
      <w:jc w:val="both"/>
      <w:rPr>
        <w:rFonts w:ascii="Arial Narrow" w:hAnsi="Arial Narrow" w:cs="Arial"/>
        <w:b/>
        <w:sz w:val="20"/>
        <w:szCs w:val="20"/>
      </w:rPr>
    </w:pPr>
    <w:r w:rsidRPr="00CA4D8D">
      <w:rPr>
        <w:noProof/>
        <w:sz w:val="20"/>
        <w:szCs w:val="20"/>
        <w:lang w:eastAsia="es-MX"/>
      </w:rPr>
      <w:drawing>
        <wp:anchor distT="0" distB="0" distL="114300" distR="114300" simplePos="0" relativeHeight="251659264" behindDoc="1" locked="0" layoutInCell="1" allowOverlap="1" wp14:anchorId="12948916" wp14:editId="675BBB40">
          <wp:simplePos x="0" y="0"/>
          <wp:positionH relativeFrom="column">
            <wp:posOffset>-489585</wp:posOffset>
          </wp:positionH>
          <wp:positionV relativeFrom="paragraph">
            <wp:posOffset>7620</wp:posOffset>
          </wp:positionV>
          <wp:extent cx="1990725" cy="1438275"/>
          <wp:effectExtent l="0" t="0" r="952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4D8D">
      <w:rPr>
        <w:rFonts w:ascii="Arial Narrow" w:hAnsi="Arial Narrow" w:cs="Arial"/>
        <w:b/>
        <w:sz w:val="20"/>
        <w:szCs w:val="20"/>
      </w:rPr>
      <w:t>INSTITUTO NACIONAL DE TRANSPARENCIA, ACCESO A LA INFORMACIÓN Y PROTECCIÓN DE DATOS PERSONALES</w:t>
    </w:r>
  </w:p>
  <w:p w14:paraId="15FE9F63" w14:textId="77777777" w:rsidR="00081767" w:rsidRDefault="00081767" w:rsidP="00081767">
    <w:pPr>
      <w:tabs>
        <w:tab w:val="left" w:pos="5245"/>
      </w:tabs>
      <w:spacing w:after="120"/>
      <w:ind w:left="4820" w:right="-1227"/>
      <w:jc w:val="both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SECRETARÍA DE PROTECCIÓN DE DATOS PERSONALES</w:t>
    </w:r>
  </w:p>
  <w:p w14:paraId="64354D43" w14:textId="77777777" w:rsidR="00081767" w:rsidRDefault="00081767" w:rsidP="00081767">
    <w:pPr>
      <w:tabs>
        <w:tab w:val="left" w:pos="5245"/>
      </w:tabs>
      <w:spacing w:after="120"/>
      <w:ind w:left="4820" w:right="-1227"/>
      <w:jc w:val="both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DIRECCIÓN GENERAL DE EVALUACIÓN, INVESTIGACIÓN Y VERIFICACIÓN DEL SECTOR PÚBLICO</w:t>
    </w:r>
  </w:p>
  <w:p w14:paraId="6BE1FB4C" w14:textId="77777777" w:rsidR="00081767" w:rsidRDefault="00081767" w:rsidP="00081767">
    <w:pPr>
      <w:tabs>
        <w:tab w:val="left" w:pos="5245"/>
      </w:tabs>
      <w:spacing w:after="120"/>
      <w:ind w:left="4820" w:right="-1227"/>
      <w:jc w:val="both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OFICIO: INAI/S</w:t>
    </w:r>
    <w:r w:rsidR="00DF7D2C">
      <w:rPr>
        <w:rFonts w:ascii="Arial Narrow" w:hAnsi="Arial Narrow" w:cs="Arial"/>
        <w:b/>
        <w:sz w:val="20"/>
        <w:szCs w:val="20"/>
      </w:rPr>
      <w:t>PDP/DGEIVSP/---------------/2021</w:t>
    </w:r>
  </w:p>
  <w:p w14:paraId="57728B65" w14:textId="77777777" w:rsidR="00081767" w:rsidRDefault="00081767" w:rsidP="00081767">
    <w:pPr>
      <w:tabs>
        <w:tab w:val="left" w:pos="5245"/>
      </w:tabs>
      <w:spacing w:after="120"/>
      <w:ind w:left="4820" w:right="-1227"/>
      <w:jc w:val="both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Ciudad de México a ----------------------------------------</w:t>
    </w:r>
    <w:r w:rsidR="00DF7D2C">
      <w:rPr>
        <w:rFonts w:ascii="Arial Narrow" w:hAnsi="Arial Narrow" w:cs="Arial"/>
        <w:b/>
        <w:sz w:val="20"/>
        <w:szCs w:val="20"/>
      </w:rPr>
      <w:t xml:space="preserve"> de 2021</w:t>
    </w:r>
  </w:p>
  <w:p w14:paraId="605A7409" w14:textId="77777777" w:rsidR="00004732" w:rsidRPr="00081767" w:rsidRDefault="00004732" w:rsidP="00081767">
    <w:pPr>
      <w:tabs>
        <w:tab w:val="left" w:pos="5245"/>
      </w:tabs>
      <w:spacing w:after="120"/>
      <w:ind w:left="4820" w:right="-1227"/>
      <w:jc w:val="both"/>
      <w:rPr>
        <w:rFonts w:ascii="Arial Narrow" w:hAnsi="Arial Narrow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5644E"/>
    <w:multiLevelType w:val="hybridMultilevel"/>
    <w:tmpl w:val="9CEC9A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00A"/>
    <w:rsid w:val="000017B4"/>
    <w:rsid w:val="00004732"/>
    <w:rsid w:val="00053AD0"/>
    <w:rsid w:val="00081767"/>
    <w:rsid w:val="00094AAD"/>
    <w:rsid w:val="001026A5"/>
    <w:rsid w:val="001B024D"/>
    <w:rsid w:val="00255AA8"/>
    <w:rsid w:val="002D131C"/>
    <w:rsid w:val="002F2293"/>
    <w:rsid w:val="00301EAD"/>
    <w:rsid w:val="00305A0E"/>
    <w:rsid w:val="00341F3D"/>
    <w:rsid w:val="003B2EC4"/>
    <w:rsid w:val="003C7DA5"/>
    <w:rsid w:val="00407CF3"/>
    <w:rsid w:val="004B1B97"/>
    <w:rsid w:val="00561912"/>
    <w:rsid w:val="00576E19"/>
    <w:rsid w:val="006A04AD"/>
    <w:rsid w:val="006D00BC"/>
    <w:rsid w:val="006F4203"/>
    <w:rsid w:val="00700716"/>
    <w:rsid w:val="0070381D"/>
    <w:rsid w:val="00711B18"/>
    <w:rsid w:val="00727AC5"/>
    <w:rsid w:val="00732B32"/>
    <w:rsid w:val="0077086C"/>
    <w:rsid w:val="007E2FD0"/>
    <w:rsid w:val="00814886"/>
    <w:rsid w:val="00833A47"/>
    <w:rsid w:val="0083500A"/>
    <w:rsid w:val="00865019"/>
    <w:rsid w:val="00902891"/>
    <w:rsid w:val="00966360"/>
    <w:rsid w:val="00976C65"/>
    <w:rsid w:val="009A7006"/>
    <w:rsid w:val="00A13D85"/>
    <w:rsid w:val="00A6759F"/>
    <w:rsid w:val="00A67BCB"/>
    <w:rsid w:val="00AA6960"/>
    <w:rsid w:val="00AD40D6"/>
    <w:rsid w:val="00AE2443"/>
    <w:rsid w:val="00B02DB5"/>
    <w:rsid w:val="00B10F9D"/>
    <w:rsid w:val="00B930C2"/>
    <w:rsid w:val="00C37E95"/>
    <w:rsid w:val="00C629C6"/>
    <w:rsid w:val="00C96944"/>
    <w:rsid w:val="00CB569C"/>
    <w:rsid w:val="00CD2CA1"/>
    <w:rsid w:val="00D23048"/>
    <w:rsid w:val="00D63965"/>
    <w:rsid w:val="00DA74A6"/>
    <w:rsid w:val="00DF7D2C"/>
    <w:rsid w:val="00E1507E"/>
    <w:rsid w:val="00E64630"/>
    <w:rsid w:val="00E92128"/>
    <w:rsid w:val="00EF2C49"/>
    <w:rsid w:val="00F67369"/>
    <w:rsid w:val="00FC5347"/>
    <w:rsid w:val="00FE1C58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1868B"/>
  <w15:docId w15:val="{B1C14567-8E07-4AF5-9098-2494505D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E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350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3500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3500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5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0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817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1767"/>
  </w:style>
  <w:style w:type="paragraph" w:styleId="Piedepgina">
    <w:name w:val="footer"/>
    <w:basedOn w:val="Normal"/>
    <w:link w:val="PiedepginaCar"/>
    <w:uiPriority w:val="99"/>
    <w:unhideWhenUsed/>
    <w:rsid w:val="000817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1767"/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833A47"/>
    <w:pPr>
      <w:spacing w:after="200" w:line="276" w:lineRule="atLeast"/>
      <w:ind w:left="720"/>
    </w:pPr>
    <w:rPr>
      <w:rFonts w:ascii="Calibri" w:eastAsia="Times New Roman" w:hAnsi="Calibri" w:cs="Calibri"/>
      <w:sz w:val="24"/>
      <w:szCs w:val="20"/>
      <w:lang w:eastAsia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833A47"/>
    <w:rPr>
      <w:rFonts w:ascii="Calibri" w:eastAsia="Times New Roman" w:hAnsi="Calibri" w:cs="Calibri"/>
      <w:sz w:val="24"/>
      <w:szCs w:val="20"/>
      <w:lang w:eastAsia="es-MX"/>
    </w:rPr>
  </w:style>
  <w:style w:type="table" w:styleId="Tablaconcuadrcula">
    <w:name w:val="Table Grid"/>
    <w:basedOn w:val="Tablanormal"/>
    <w:uiPriority w:val="39"/>
    <w:rsid w:val="0083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Jennifer Colín Álvarez</cp:lastModifiedBy>
  <cp:revision>3</cp:revision>
  <dcterms:created xsi:type="dcterms:W3CDTF">2021-07-09T17:06:00Z</dcterms:created>
  <dcterms:modified xsi:type="dcterms:W3CDTF">2021-07-09T17:07:00Z</dcterms:modified>
</cp:coreProperties>
</file>