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9DFD" w14:textId="77777777" w:rsidR="00AF566A" w:rsidRDefault="00AF566A" w:rsidP="006D56C3">
      <w:pPr>
        <w:pStyle w:val="NormalWeb"/>
        <w:spacing w:before="0" w:beforeAutospacing="0" w:after="0" w:afterAutospacing="0"/>
        <w:jc w:val="both"/>
        <w:rPr>
          <w:rStyle w:val="Textoennegrita"/>
          <w:rFonts w:ascii="Arial" w:hAnsi="Arial" w:cs="Arial"/>
          <w:sz w:val="20"/>
          <w:szCs w:val="20"/>
        </w:rPr>
      </w:pPr>
    </w:p>
    <w:p w14:paraId="68D49F61" w14:textId="77777777" w:rsidR="005171E1" w:rsidRDefault="005171E1" w:rsidP="006D56C3">
      <w:pPr>
        <w:pStyle w:val="NormalWeb"/>
        <w:spacing w:before="0" w:beforeAutospacing="0" w:after="0" w:afterAutospacing="0"/>
        <w:jc w:val="both"/>
        <w:rPr>
          <w:rStyle w:val="Textoennegrita"/>
          <w:rFonts w:ascii="Arial" w:hAnsi="Arial" w:cs="Arial"/>
          <w:b w:val="0"/>
          <w:bCs w:val="0"/>
          <w:sz w:val="22"/>
          <w:szCs w:val="22"/>
        </w:rPr>
      </w:pPr>
    </w:p>
    <w:p w14:paraId="3465807F" w14:textId="75CD8783" w:rsidR="00417A4D" w:rsidRDefault="00A051F0" w:rsidP="006D56C3">
      <w:pPr>
        <w:pStyle w:val="NormalWeb"/>
        <w:spacing w:before="0" w:beforeAutospacing="0" w:after="0" w:afterAutospacing="0"/>
        <w:jc w:val="both"/>
        <w:rPr>
          <w:rStyle w:val="Textoennegrita"/>
          <w:rFonts w:ascii="Arial" w:hAnsi="Arial" w:cs="Arial"/>
          <w:b w:val="0"/>
          <w:bCs w:val="0"/>
          <w:sz w:val="22"/>
          <w:szCs w:val="22"/>
        </w:rPr>
      </w:pPr>
      <w:r w:rsidRPr="00A70B06">
        <w:rPr>
          <w:rStyle w:val="Textoennegrita"/>
          <w:rFonts w:ascii="Arial" w:hAnsi="Arial" w:cs="Arial"/>
          <w:b w:val="0"/>
          <w:bCs w:val="0"/>
          <w:sz w:val="22"/>
          <w:szCs w:val="22"/>
        </w:rPr>
        <w:t>Contralor</w:t>
      </w:r>
      <w:r w:rsidR="00D55031">
        <w:rPr>
          <w:rStyle w:val="Textoennegrita"/>
          <w:rFonts w:ascii="Arial" w:hAnsi="Arial" w:cs="Arial"/>
          <w:b w:val="0"/>
          <w:bCs w:val="0"/>
          <w:sz w:val="22"/>
          <w:szCs w:val="22"/>
        </w:rPr>
        <w:t>ía</w:t>
      </w:r>
      <w:r w:rsidRPr="00A70B06">
        <w:rPr>
          <w:rStyle w:val="Textoennegrita"/>
          <w:rFonts w:ascii="Arial" w:hAnsi="Arial" w:cs="Arial"/>
          <w:b w:val="0"/>
          <w:bCs w:val="0"/>
          <w:sz w:val="22"/>
          <w:szCs w:val="22"/>
        </w:rPr>
        <w:t xml:space="preserve"> Intern</w:t>
      </w:r>
      <w:r w:rsidR="00D55031">
        <w:rPr>
          <w:rStyle w:val="Textoennegrita"/>
          <w:rFonts w:ascii="Arial" w:hAnsi="Arial" w:cs="Arial"/>
          <w:b w:val="0"/>
          <w:bCs w:val="0"/>
          <w:sz w:val="22"/>
          <w:szCs w:val="22"/>
        </w:rPr>
        <w:t>a</w:t>
      </w:r>
      <w:r w:rsidR="00C74EA4">
        <w:rPr>
          <w:rStyle w:val="Textoennegrita"/>
          <w:rFonts w:ascii="Arial" w:hAnsi="Arial" w:cs="Arial"/>
          <w:b w:val="0"/>
          <w:bCs w:val="0"/>
          <w:sz w:val="22"/>
          <w:szCs w:val="22"/>
        </w:rPr>
        <w:t xml:space="preserve"> del</w:t>
      </w:r>
    </w:p>
    <w:p w14:paraId="46A0D160" w14:textId="3FB596C3" w:rsidR="006D56C3" w:rsidRPr="00A70B06" w:rsidRDefault="00A051F0" w:rsidP="006D56C3">
      <w:pPr>
        <w:pStyle w:val="NormalWeb"/>
        <w:spacing w:before="0" w:beforeAutospacing="0" w:after="0" w:afterAutospacing="0"/>
        <w:jc w:val="both"/>
        <w:rPr>
          <w:rStyle w:val="Textoennegrita"/>
          <w:rFonts w:ascii="Arial" w:hAnsi="Arial" w:cs="Arial"/>
          <w:b w:val="0"/>
          <w:bCs w:val="0"/>
          <w:sz w:val="22"/>
          <w:szCs w:val="22"/>
        </w:rPr>
      </w:pPr>
      <w:r w:rsidRPr="00A70B06">
        <w:rPr>
          <w:rStyle w:val="Textoennegrita"/>
          <w:rFonts w:ascii="Arial" w:hAnsi="Arial" w:cs="Arial"/>
          <w:b w:val="0"/>
          <w:bCs w:val="0"/>
          <w:sz w:val="22"/>
          <w:szCs w:val="22"/>
        </w:rPr>
        <w:t>Tribunal Electoral del Poder Judicial de la Federación</w:t>
      </w:r>
    </w:p>
    <w:p w14:paraId="26BEC3C2" w14:textId="7F20F440" w:rsidR="00526CEB" w:rsidRPr="00A70B06" w:rsidRDefault="00526CEB" w:rsidP="006D56C3">
      <w:pPr>
        <w:pStyle w:val="NormalWeb"/>
        <w:spacing w:before="0" w:beforeAutospacing="0" w:after="0" w:afterAutospacing="0"/>
        <w:jc w:val="both"/>
        <w:rPr>
          <w:rFonts w:ascii="Arial" w:hAnsi="Arial" w:cs="Arial"/>
          <w:b/>
          <w:bCs/>
          <w:sz w:val="22"/>
          <w:szCs w:val="22"/>
        </w:rPr>
      </w:pPr>
      <w:r w:rsidRPr="00A70B06">
        <w:rPr>
          <w:rStyle w:val="Textoennegrita"/>
          <w:rFonts w:ascii="Arial" w:hAnsi="Arial" w:cs="Arial"/>
          <w:b w:val="0"/>
          <w:bCs w:val="0"/>
          <w:sz w:val="22"/>
          <w:szCs w:val="22"/>
        </w:rPr>
        <w:t>P r e s e n t e</w:t>
      </w:r>
    </w:p>
    <w:p w14:paraId="75D6D8C5" w14:textId="77777777" w:rsidR="000D4F6E" w:rsidRPr="00A70B06" w:rsidRDefault="000D4F6E" w:rsidP="000D4F6E">
      <w:pPr>
        <w:pStyle w:val="NormalWeb"/>
        <w:spacing w:before="0" w:beforeAutospacing="0" w:after="0" w:afterAutospacing="0"/>
        <w:jc w:val="both"/>
        <w:rPr>
          <w:rFonts w:ascii="Arial" w:hAnsi="Arial" w:cs="Arial"/>
          <w:sz w:val="22"/>
          <w:szCs w:val="22"/>
        </w:rPr>
      </w:pPr>
    </w:p>
    <w:p w14:paraId="0C697309" w14:textId="591C2418" w:rsidR="000D4F6E" w:rsidRPr="005171E1" w:rsidRDefault="009841C2" w:rsidP="000D4F6E">
      <w:pPr>
        <w:pStyle w:val="NormalWeb"/>
        <w:spacing w:before="0" w:beforeAutospacing="0" w:after="0" w:afterAutospacing="0"/>
        <w:jc w:val="both"/>
        <w:rPr>
          <w:rFonts w:ascii="Arial" w:hAnsi="Arial" w:cs="Arial"/>
          <w:sz w:val="20"/>
          <w:szCs w:val="20"/>
        </w:rPr>
      </w:pPr>
      <w:r w:rsidRPr="005171E1">
        <w:rPr>
          <w:rFonts w:ascii="Arial" w:hAnsi="Arial" w:cs="Arial"/>
          <w:sz w:val="20"/>
          <w:szCs w:val="20"/>
        </w:rPr>
        <w:t>M</w:t>
      </w:r>
      <w:r w:rsidR="000D4F6E" w:rsidRPr="005171E1">
        <w:rPr>
          <w:rFonts w:ascii="Arial" w:hAnsi="Arial" w:cs="Arial"/>
          <w:sz w:val="20"/>
          <w:szCs w:val="20"/>
        </w:rPr>
        <w:t xml:space="preserve">e permito </w:t>
      </w:r>
      <w:r w:rsidRPr="005171E1">
        <w:rPr>
          <w:rFonts w:ascii="Arial" w:hAnsi="Arial" w:cs="Arial"/>
          <w:sz w:val="20"/>
          <w:szCs w:val="20"/>
        </w:rPr>
        <w:t xml:space="preserve">someter a consideración </w:t>
      </w:r>
      <w:r w:rsidR="00417A4D" w:rsidRPr="005171E1">
        <w:rPr>
          <w:rFonts w:ascii="Arial" w:hAnsi="Arial" w:cs="Arial"/>
          <w:sz w:val="20"/>
          <w:szCs w:val="20"/>
        </w:rPr>
        <w:t xml:space="preserve">de la Contraloría Interna </w:t>
      </w:r>
      <w:r w:rsidR="00F44EF9" w:rsidRPr="005171E1">
        <w:rPr>
          <w:rFonts w:ascii="Arial" w:hAnsi="Arial" w:cs="Arial"/>
          <w:sz w:val="20"/>
          <w:szCs w:val="20"/>
        </w:rPr>
        <w:t xml:space="preserve">la </w:t>
      </w:r>
      <w:r w:rsidR="00A70B06" w:rsidRPr="005171E1">
        <w:rPr>
          <w:rFonts w:ascii="Arial" w:hAnsi="Arial" w:cs="Arial"/>
          <w:sz w:val="20"/>
          <w:szCs w:val="20"/>
        </w:rPr>
        <w:t xml:space="preserve">presente </w:t>
      </w:r>
      <w:r w:rsidRPr="005171E1">
        <w:rPr>
          <w:rFonts w:ascii="Arial" w:hAnsi="Arial" w:cs="Arial"/>
          <w:sz w:val="20"/>
          <w:szCs w:val="20"/>
        </w:rPr>
        <w:t xml:space="preserve">solicitud de </w:t>
      </w:r>
      <w:r w:rsidR="000D4F6E" w:rsidRPr="005171E1">
        <w:rPr>
          <w:rFonts w:ascii="Arial" w:hAnsi="Arial" w:cs="Arial"/>
          <w:sz w:val="20"/>
          <w:szCs w:val="20"/>
        </w:rPr>
        <w:t>exen</w:t>
      </w:r>
      <w:r w:rsidRPr="005171E1">
        <w:rPr>
          <w:rFonts w:ascii="Arial" w:hAnsi="Arial" w:cs="Arial"/>
          <w:sz w:val="20"/>
          <w:szCs w:val="20"/>
        </w:rPr>
        <w:t xml:space="preserve">ción </w:t>
      </w:r>
      <w:r w:rsidR="00417A4D" w:rsidRPr="005171E1">
        <w:rPr>
          <w:rFonts w:ascii="Arial" w:hAnsi="Arial" w:cs="Arial"/>
          <w:sz w:val="20"/>
          <w:szCs w:val="20"/>
        </w:rPr>
        <w:t xml:space="preserve">de la obligación </w:t>
      </w:r>
      <w:r w:rsidR="0096541D" w:rsidRPr="005171E1">
        <w:rPr>
          <w:rFonts w:ascii="Arial" w:hAnsi="Arial" w:cs="Arial"/>
          <w:sz w:val="20"/>
          <w:szCs w:val="20"/>
        </w:rPr>
        <w:t xml:space="preserve">de presentar </w:t>
      </w:r>
      <w:r w:rsidR="000D4F6E" w:rsidRPr="005171E1">
        <w:rPr>
          <w:rFonts w:ascii="Arial" w:hAnsi="Arial" w:cs="Arial"/>
          <w:sz w:val="20"/>
          <w:szCs w:val="20"/>
        </w:rPr>
        <w:t>acta administrativa de entrega recepción correspondiente al cambio de plaza que se detalla a continuación:</w:t>
      </w:r>
    </w:p>
    <w:p w14:paraId="79E4D74D" w14:textId="77777777" w:rsidR="00ED2D82" w:rsidRDefault="00ED2D82" w:rsidP="000D4F6E">
      <w:pPr>
        <w:pStyle w:val="NormalWeb"/>
        <w:spacing w:before="0" w:beforeAutospacing="0" w:after="0" w:afterAutospacing="0"/>
        <w:jc w:val="both"/>
        <w:rPr>
          <w:rFonts w:ascii="Arial" w:hAnsi="Arial" w:cs="Arial"/>
          <w:sz w:val="22"/>
          <w:szCs w:val="22"/>
        </w:rPr>
      </w:pP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2366"/>
        <w:gridCol w:w="2331"/>
        <w:gridCol w:w="2120"/>
        <w:gridCol w:w="2011"/>
      </w:tblGrid>
      <w:tr w:rsidR="00ED2D82" w:rsidRPr="00ED2D82" w14:paraId="60175BD6" w14:textId="77777777" w:rsidTr="00B201DD">
        <w:trPr>
          <w:jc w:val="center"/>
        </w:trPr>
        <w:tc>
          <w:tcPr>
            <w:tcW w:w="8828" w:type="dxa"/>
            <w:gridSpan w:val="4"/>
            <w:tcBorders>
              <w:bottom w:val="nil"/>
            </w:tcBorders>
            <w:shd w:val="clear" w:color="auto" w:fill="CBD3DE" w:themeFill="text2" w:themeFillTint="40"/>
            <w:vAlign w:val="center"/>
          </w:tcPr>
          <w:p w14:paraId="0BBA1875" w14:textId="77777777" w:rsid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 xml:space="preserve">Formato de solicitud de exención de presentación de Acta Administrativa de Entrega Recepción: </w:t>
            </w:r>
          </w:p>
          <w:p w14:paraId="173179B9" w14:textId="77777777" w:rsidR="002C0F6A" w:rsidRPr="00ED2D82" w:rsidRDefault="002C0F6A" w:rsidP="00ED2D82">
            <w:pPr>
              <w:rPr>
                <w:rFonts w:ascii="Arial" w:eastAsia="Times New Roman" w:hAnsi="Arial"/>
                <w:sz w:val="18"/>
                <w:szCs w:val="18"/>
                <w:lang w:eastAsia="es-MX"/>
              </w:rPr>
            </w:pPr>
          </w:p>
        </w:tc>
      </w:tr>
      <w:tr w:rsidR="00ED2D82" w:rsidRPr="00ED2D82" w14:paraId="3E6B2ECE" w14:textId="77777777" w:rsidTr="00B201DD">
        <w:trPr>
          <w:trHeight w:val="344"/>
          <w:jc w:val="center"/>
        </w:trPr>
        <w:tc>
          <w:tcPr>
            <w:tcW w:w="8828" w:type="dxa"/>
            <w:gridSpan w:val="4"/>
            <w:tcBorders>
              <w:top w:val="nil"/>
              <w:bottom w:val="single" w:sz="4" w:space="0" w:color="auto"/>
            </w:tcBorders>
            <w:vAlign w:val="center"/>
          </w:tcPr>
          <w:p w14:paraId="7B2B1255"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Nombre:</w:t>
            </w:r>
          </w:p>
        </w:tc>
      </w:tr>
      <w:tr w:rsidR="00ED2D82" w:rsidRPr="00ED2D82" w14:paraId="795D38FF" w14:textId="77777777" w:rsidTr="00B201DD">
        <w:trPr>
          <w:trHeight w:val="404"/>
          <w:jc w:val="center"/>
        </w:trPr>
        <w:tc>
          <w:tcPr>
            <w:tcW w:w="2366" w:type="dxa"/>
            <w:shd w:val="clear" w:color="auto" w:fill="CBD3DE" w:themeFill="text2" w:themeFillTint="40"/>
            <w:vAlign w:val="center"/>
          </w:tcPr>
          <w:p w14:paraId="30EF6C47"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Plaza o cargo que se deja de ocupar:</w:t>
            </w:r>
          </w:p>
        </w:tc>
        <w:tc>
          <w:tcPr>
            <w:tcW w:w="2331" w:type="dxa"/>
            <w:tcBorders>
              <w:top w:val="single" w:sz="4" w:space="0" w:color="auto"/>
              <w:bottom w:val="single" w:sz="4" w:space="0" w:color="auto"/>
              <w:right w:val="single" w:sz="4" w:space="0" w:color="auto"/>
            </w:tcBorders>
            <w:vAlign w:val="center"/>
          </w:tcPr>
          <w:p w14:paraId="6C19B8A8" w14:textId="77777777" w:rsidR="00ED2D82" w:rsidRPr="00ED2D82" w:rsidRDefault="00ED2D82" w:rsidP="00ED2D82">
            <w:pPr>
              <w:rPr>
                <w:rFonts w:ascii="Arial" w:eastAsia="Times New Roman" w:hAnsi="Arial"/>
                <w:sz w:val="18"/>
                <w:szCs w:val="18"/>
                <w:lang w:eastAsia="es-MX"/>
              </w:rPr>
            </w:pPr>
          </w:p>
        </w:tc>
        <w:tc>
          <w:tcPr>
            <w:tcW w:w="2120" w:type="dxa"/>
            <w:tcBorders>
              <w:top w:val="single" w:sz="4" w:space="0" w:color="auto"/>
              <w:left w:val="single" w:sz="4" w:space="0" w:color="auto"/>
              <w:bottom w:val="single" w:sz="4" w:space="0" w:color="auto"/>
            </w:tcBorders>
            <w:shd w:val="clear" w:color="auto" w:fill="CBD3DE" w:themeFill="text2" w:themeFillTint="40"/>
            <w:vAlign w:val="center"/>
          </w:tcPr>
          <w:p w14:paraId="31CDEF35"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Plaza o nuevo cargo a ocupar:</w:t>
            </w:r>
          </w:p>
        </w:tc>
        <w:tc>
          <w:tcPr>
            <w:tcW w:w="2011" w:type="dxa"/>
            <w:vAlign w:val="center"/>
          </w:tcPr>
          <w:p w14:paraId="445E8691" w14:textId="77777777" w:rsidR="00ED2D82" w:rsidRPr="00ED2D82" w:rsidRDefault="00ED2D82" w:rsidP="00ED2D82">
            <w:pPr>
              <w:rPr>
                <w:rFonts w:ascii="Arial" w:eastAsia="Times New Roman" w:hAnsi="Arial"/>
                <w:sz w:val="18"/>
                <w:szCs w:val="18"/>
                <w:lang w:eastAsia="es-MX"/>
              </w:rPr>
            </w:pPr>
          </w:p>
        </w:tc>
      </w:tr>
      <w:tr w:rsidR="00ED2D82" w:rsidRPr="00ED2D82" w14:paraId="07DA581D" w14:textId="77777777" w:rsidTr="00B201DD">
        <w:trPr>
          <w:trHeight w:val="336"/>
          <w:jc w:val="center"/>
        </w:trPr>
        <w:tc>
          <w:tcPr>
            <w:tcW w:w="2366" w:type="dxa"/>
            <w:shd w:val="clear" w:color="auto" w:fill="CBD3DE" w:themeFill="text2" w:themeFillTint="40"/>
            <w:vAlign w:val="center"/>
          </w:tcPr>
          <w:p w14:paraId="0860840E"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Nivel:</w:t>
            </w:r>
          </w:p>
        </w:tc>
        <w:tc>
          <w:tcPr>
            <w:tcW w:w="2331" w:type="dxa"/>
            <w:tcBorders>
              <w:top w:val="single" w:sz="4" w:space="0" w:color="auto"/>
              <w:bottom w:val="single" w:sz="4" w:space="0" w:color="auto"/>
              <w:right w:val="single" w:sz="4" w:space="0" w:color="auto"/>
            </w:tcBorders>
            <w:vAlign w:val="center"/>
          </w:tcPr>
          <w:p w14:paraId="79B6B279" w14:textId="77777777" w:rsidR="00ED2D82" w:rsidRPr="00ED2D82" w:rsidRDefault="00ED2D82" w:rsidP="00ED2D82">
            <w:pPr>
              <w:rPr>
                <w:rFonts w:ascii="Arial" w:eastAsia="Times New Roman" w:hAnsi="Arial"/>
                <w:sz w:val="18"/>
                <w:szCs w:val="18"/>
                <w:lang w:eastAsia="es-MX"/>
              </w:rPr>
            </w:pPr>
          </w:p>
        </w:tc>
        <w:tc>
          <w:tcPr>
            <w:tcW w:w="2120" w:type="dxa"/>
            <w:tcBorders>
              <w:top w:val="single" w:sz="4" w:space="0" w:color="auto"/>
              <w:left w:val="single" w:sz="4" w:space="0" w:color="auto"/>
              <w:bottom w:val="single" w:sz="4" w:space="0" w:color="auto"/>
            </w:tcBorders>
            <w:shd w:val="clear" w:color="auto" w:fill="CBD3DE" w:themeFill="text2" w:themeFillTint="40"/>
            <w:vAlign w:val="center"/>
          </w:tcPr>
          <w:p w14:paraId="70E9BE4C"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Nivel de cargo de alta</w:t>
            </w:r>
          </w:p>
        </w:tc>
        <w:tc>
          <w:tcPr>
            <w:tcW w:w="2011" w:type="dxa"/>
            <w:vAlign w:val="center"/>
          </w:tcPr>
          <w:p w14:paraId="52364AA4" w14:textId="77777777" w:rsidR="00ED2D82" w:rsidRPr="00ED2D82" w:rsidRDefault="00ED2D82" w:rsidP="00ED2D82">
            <w:pPr>
              <w:rPr>
                <w:rFonts w:ascii="Arial" w:eastAsia="Times New Roman" w:hAnsi="Arial"/>
                <w:sz w:val="18"/>
                <w:szCs w:val="18"/>
                <w:lang w:eastAsia="es-MX"/>
              </w:rPr>
            </w:pPr>
          </w:p>
        </w:tc>
      </w:tr>
      <w:tr w:rsidR="00ED2D82" w:rsidRPr="00ED2D82" w14:paraId="68DA6036" w14:textId="77777777" w:rsidTr="00B201DD">
        <w:trPr>
          <w:jc w:val="center"/>
        </w:trPr>
        <w:tc>
          <w:tcPr>
            <w:tcW w:w="2366" w:type="dxa"/>
            <w:shd w:val="clear" w:color="auto" w:fill="CBD3DE" w:themeFill="text2" w:themeFillTint="40"/>
            <w:vAlign w:val="center"/>
          </w:tcPr>
          <w:p w14:paraId="5E72FE8A"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Adscripción:</w:t>
            </w:r>
          </w:p>
        </w:tc>
        <w:tc>
          <w:tcPr>
            <w:tcW w:w="2331" w:type="dxa"/>
            <w:tcBorders>
              <w:top w:val="single" w:sz="4" w:space="0" w:color="auto"/>
              <w:bottom w:val="single" w:sz="4" w:space="0" w:color="auto"/>
              <w:right w:val="single" w:sz="4" w:space="0" w:color="auto"/>
            </w:tcBorders>
            <w:vAlign w:val="center"/>
          </w:tcPr>
          <w:p w14:paraId="7C9BE233" w14:textId="77777777" w:rsidR="00ED2D82" w:rsidRPr="00ED2D82" w:rsidRDefault="00ED2D82" w:rsidP="00ED2D82">
            <w:pPr>
              <w:rPr>
                <w:rFonts w:ascii="Arial" w:eastAsia="Times New Roman" w:hAnsi="Arial"/>
                <w:sz w:val="18"/>
                <w:szCs w:val="18"/>
                <w:lang w:eastAsia="es-MX"/>
              </w:rPr>
            </w:pPr>
          </w:p>
        </w:tc>
        <w:tc>
          <w:tcPr>
            <w:tcW w:w="2120" w:type="dxa"/>
            <w:tcBorders>
              <w:top w:val="single" w:sz="4" w:space="0" w:color="auto"/>
              <w:left w:val="single" w:sz="4" w:space="0" w:color="auto"/>
              <w:bottom w:val="single" w:sz="4" w:space="0" w:color="auto"/>
            </w:tcBorders>
            <w:shd w:val="clear" w:color="auto" w:fill="CBD3DE" w:themeFill="text2" w:themeFillTint="40"/>
            <w:vAlign w:val="center"/>
          </w:tcPr>
          <w:p w14:paraId="0341B837"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Adscripción del cargo de alta:</w:t>
            </w:r>
          </w:p>
        </w:tc>
        <w:tc>
          <w:tcPr>
            <w:tcW w:w="2011" w:type="dxa"/>
            <w:vAlign w:val="center"/>
          </w:tcPr>
          <w:p w14:paraId="0B44C8DC" w14:textId="77777777" w:rsidR="00ED2D82" w:rsidRPr="00ED2D82" w:rsidRDefault="00ED2D82" w:rsidP="00ED2D82">
            <w:pPr>
              <w:rPr>
                <w:rFonts w:ascii="Arial" w:eastAsia="Times New Roman" w:hAnsi="Arial"/>
                <w:sz w:val="18"/>
                <w:szCs w:val="18"/>
                <w:lang w:eastAsia="es-MX"/>
              </w:rPr>
            </w:pPr>
          </w:p>
        </w:tc>
      </w:tr>
      <w:tr w:rsidR="00ED2D82" w:rsidRPr="00ED2D82" w14:paraId="572E50B8" w14:textId="77777777" w:rsidTr="00B201DD">
        <w:trPr>
          <w:jc w:val="center"/>
        </w:trPr>
        <w:tc>
          <w:tcPr>
            <w:tcW w:w="2366" w:type="dxa"/>
            <w:shd w:val="clear" w:color="auto" w:fill="CBD3DE" w:themeFill="text2" w:themeFillTint="40"/>
            <w:vAlign w:val="center"/>
          </w:tcPr>
          <w:p w14:paraId="1CA9E29C"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Sala de Adscripción:</w:t>
            </w:r>
          </w:p>
        </w:tc>
        <w:tc>
          <w:tcPr>
            <w:tcW w:w="2331" w:type="dxa"/>
            <w:tcBorders>
              <w:top w:val="single" w:sz="4" w:space="0" w:color="auto"/>
              <w:bottom w:val="single" w:sz="4" w:space="0" w:color="auto"/>
              <w:right w:val="single" w:sz="4" w:space="0" w:color="auto"/>
            </w:tcBorders>
            <w:vAlign w:val="center"/>
          </w:tcPr>
          <w:p w14:paraId="3C672D8C" w14:textId="77777777" w:rsidR="00ED2D82" w:rsidRPr="00ED2D82" w:rsidRDefault="00ED2D82" w:rsidP="00ED2D82">
            <w:pPr>
              <w:rPr>
                <w:rFonts w:ascii="Arial" w:eastAsia="Times New Roman" w:hAnsi="Arial"/>
                <w:sz w:val="18"/>
                <w:szCs w:val="18"/>
                <w:lang w:eastAsia="es-MX"/>
              </w:rPr>
            </w:pPr>
          </w:p>
        </w:tc>
        <w:tc>
          <w:tcPr>
            <w:tcW w:w="2120" w:type="dxa"/>
            <w:tcBorders>
              <w:top w:val="single" w:sz="4" w:space="0" w:color="auto"/>
              <w:left w:val="single" w:sz="4" w:space="0" w:color="auto"/>
              <w:bottom w:val="single" w:sz="4" w:space="0" w:color="auto"/>
            </w:tcBorders>
            <w:shd w:val="clear" w:color="auto" w:fill="CBD3DE" w:themeFill="text2" w:themeFillTint="40"/>
            <w:vAlign w:val="center"/>
          </w:tcPr>
          <w:p w14:paraId="5D4B3A82"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Sala de Adscripción del cargo de alta:</w:t>
            </w:r>
          </w:p>
        </w:tc>
        <w:tc>
          <w:tcPr>
            <w:tcW w:w="2011" w:type="dxa"/>
            <w:vAlign w:val="center"/>
          </w:tcPr>
          <w:p w14:paraId="2A108796" w14:textId="77777777" w:rsidR="00ED2D82" w:rsidRPr="00ED2D82" w:rsidRDefault="00ED2D82" w:rsidP="00ED2D82">
            <w:pPr>
              <w:rPr>
                <w:rFonts w:ascii="Arial" w:eastAsia="Times New Roman" w:hAnsi="Arial"/>
                <w:sz w:val="18"/>
                <w:szCs w:val="18"/>
                <w:lang w:eastAsia="es-MX"/>
              </w:rPr>
            </w:pPr>
          </w:p>
        </w:tc>
      </w:tr>
      <w:tr w:rsidR="00ED2D82" w:rsidRPr="00ED2D82" w14:paraId="5C2DABF0" w14:textId="77777777" w:rsidTr="00B201DD">
        <w:trPr>
          <w:jc w:val="center"/>
        </w:trPr>
        <w:tc>
          <w:tcPr>
            <w:tcW w:w="2366" w:type="dxa"/>
            <w:shd w:val="clear" w:color="auto" w:fill="CBD3DE" w:themeFill="text2" w:themeFillTint="40"/>
            <w:vAlign w:val="center"/>
          </w:tcPr>
          <w:p w14:paraId="26DB8AC5"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 xml:space="preserve">Fecha de baja: </w:t>
            </w:r>
          </w:p>
        </w:tc>
        <w:tc>
          <w:tcPr>
            <w:tcW w:w="2331" w:type="dxa"/>
            <w:tcBorders>
              <w:top w:val="single" w:sz="4" w:space="0" w:color="auto"/>
              <w:bottom w:val="single" w:sz="4" w:space="0" w:color="auto"/>
              <w:right w:val="single" w:sz="4" w:space="0" w:color="auto"/>
            </w:tcBorders>
            <w:vAlign w:val="center"/>
          </w:tcPr>
          <w:p w14:paraId="4F677EEF" w14:textId="77777777" w:rsidR="00ED2D82" w:rsidRPr="00ED2D82" w:rsidRDefault="00ED2D82" w:rsidP="00ED2D82">
            <w:pPr>
              <w:rPr>
                <w:rFonts w:ascii="Arial" w:eastAsia="Times New Roman" w:hAnsi="Arial"/>
                <w:sz w:val="18"/>
                <w:szCs w:val="18"/>
                <w:lang w:eastAsia="es-MX"/>
              </w:rPr>
            </w:pPr>
          </w:p>
        </w:tc>
        <w:tc>
          <w:tcPr>
            <w:tcW w:w="2120" w:type="dxa"/>
            <w:tcBorders>
              <w:top w:val="single" w:sz="4" w:space="0" w:color="auto"/>
              <w:left w:val="single" w:sz="4" w:space="0" w:color="auto"/>
              <w:bottom w:val="single" w:sz="4" w:space="0" w:color="auto"/>
            </w:tcBorders>
            <w:shd w:val="clear" w:color="auto" w:fill="CBD3DE" w:themeFill="text2" w:themeFillTint="40"/>
            <w:vAlign w:val="center"/>
          </w:tcPr>
          <w:p w14:paraId="507D68B8"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Fecha de alta:</w:t>
            </w:r>
          </w:p>
        </w:tc>
        <w:tc>
          <w:tcPr>
            <w:tcW w:w="2011" w:type="dxa"/>
            <w:vAlign w:val="center"/>
          </w:tcPr>
          <w:p w14:paraId="76274923" w14:textId="77777777" w:rsidR="00ED2D82" w:rsidRPr="00ED2D82" w:rsidRDefault="00ED2D82" w:rsidP="00ED2D82">
            <w:pPr>
              <w:rPr>
                <w:rFonts w:ascii="Arial" w:eastAsia="Times New Roman" w:hAnsi="Arial"/>
                <w:sz w:val="18"/>
                <w:szCs w:val="18"/>
                <w:lang w:eastAsia="es-MX"/>
              </w:rPr>
            </w:pPr>
          </w:p>
        </w:tc>
      </w:tr>
      <w:tr w:rsidR="00ED2D82" w:rsidRPr="00ED2D82" w14:paraId="31B4D032" w14:textId="77777777" w:rsidTr="00B201DD">
        <w:trPr>
          <w:jc w:val="center"/>
        </w:trPr>
        <w:tc>
          <w:tcPr>
            <w:tcW w:w="8828" w:type="dxa"/>
            <w:gridSpan w:val="4"/>
            <w:tcBorders>
              <w:top w:val="single" w:sz="4" w:space="0" w:color="auto"/>
              <w:bottom w:val="nil"/>
            </w:tcBorders>
            <w:shd w:val="clear" w:color="auto" w:fill="FFFFFF" w:themeFill="background1"/>
            <w:vAlign w:val="center"/>
          </w:tcPr>
          <w:p w14:paraId="5F2A0980" w14:textId="77777777" w:rsidR="00ED2D82" w:rsidRP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 xml:space="preserve">Duración en el cargo o plaza que se deja de ocupar: </w:t>
            </w:r>
          </w:p>
          <w:p w14:paraId="6ABB623E" w14:textId="4FB4D8D5" w:rsidR="005C13DE" w:rsidRPr="00ED2D82" w:rsidRDefault="00ED2D82" w:rsidP="0029315B">
            <w:pPr>
              <w:rPr>
                <w:rFonts w:ascii="Arial" w:eastAsia="Times New Roman" w:hAnsi="Arial"/>
                <w:sz w:val="18"/>
                <w:szCs w:val="18"/>
                <w:lang w:eastAsia="es-MX"/>
              </w:rPr>
            </w:pPr>
            <w:r w:rsidRPr="00ED2D82">
              <w:rPr>
                <w:rFonts w:ascii="Arial" w:eastAsia="Times New Roman" w:hAnsi="Arial"/>
                <w:sz w:val="18"/>
                <w:szCs w:val="18"/>
                <w:lang w:eastAsia="es-MX"/>
              </w:rPr>
              <w:t>Del  (día)  de (mes) al (día) de (mes) de 202</w:t>
            </w:r>
            <w:r w:rsidR="009B2392">
              <w:rPr>
                <w:rFonts w:ascii="Arial" w:eastAsia="Times New Roman" w:hAnsi="Arial"/>
                <w:sz w:val="18"/>
                <w:szCs w:val="18"/>
                <w:lang w:eastAsia="es-MX"/>
              </w:rPr>
              <w:t>5</w:t>
            </w:r>
          </w:p>
        </w:tc>
      </w:tr>
      <w:tr w:rsidR="00ED2D82" w:rsidRPr="00ED2D82" w14:paraId="2B221EDF" w14:textId="77777777" w:rsidTr="00B201DD">
        <w:trPr>
          <w:jc w:val="center"/>
        </w:trPr>
        <w:tc>
          <w:tcPr>
            <w:tcW w:w="8828" w:type="dxa"/>
            <w:gridSpan w:val="4"/>
            <w:tcBorders>
              <w:top w:val="nil"/>
            </w:tcBorders>
            <w:shd w:val="clear" w:color="auto" w:fill="FFFFFF" w:themeFill="background1"/>
            <w:vAlign w:val="center"/>
          </w:tcPr>
          <w:p w14:paraId="76F5FDCF" w14:textId="77777777" w:rsidR="00ED2D82" w:rsidRDefault="00ED2D82" w:rsidP="00ED2D82">
            <w:pPr>
              <w:rPr>
                <w:rFonts w:ascii="Arial" w:eastAsia="Times New Roman" w:hAnsi="Arial"/>
                <w:b/>
                <w:bCs/>
                <w:sz w:val="18"/>
                <w:szCs w:val="18"/>
                <w:lang w:eastAsia="es-MX"/>
              </w:rPr>
            </w:pPr>
            <w:r w:rsidRPr="00ED2D82">
              <w:rPr>
                <w:rFonts w:ascii="Arial" w:eastAsia="Times New Roman" w:hAnsi="Arial"/>
                <w:b/>
                <w:bCs/>
                <w:sz w:val="18"/>
                <w:szCs w:val="18"/>
                <w:lang w:eastAsia="es-MX"/>
              </w:rPr>
              <w:t xml:space="preserve">Justificación breve: </w:t>
            </w:r>
          </w:p>
          <w:p w14:paraId="00A3E8AE" w14:textId="77777777" w:rsidR="009B2392" w:rsidRPr="00ED2D82" w:rsidRDefault="009B2392" w:rsidP="00ED2D82">
            <w:pPr>
              <w:rPr>
                <w:rFonts w:ascii="Arial" w:eastAsia="Times New Roman" w:hAnsi="Arial"/>
                <w:sz w:val="18"/>
                <w:szCs w:val="18"/>
                <w:lang w:eastAsia="es-MX"/>
              </w:rPr>
            </w:pPr>
          </w:p>
        </w:tc>
      </w:tr>
    </w:tbl>
    <w:p w14:paraId="1CDC5F46" w14:textId="0AB39AFF" w:rsidR="006D56C3" w:rsidRPr="005171E1" w:rsidRDefault="009841C2" w:rsidP="006D56C3">
      <w:pPr>
        <w:pStyle w:val="NormalWeb"/>
        <w:spacing w:after="120" w:afterAutospacing="0"/>
        <w:jc w:val="both"/>
        <w:rPr>
          <w:rFonts w:ascii="Arial" w:hAnsi="Arial" w:cs="Arial"/>
          <w:sz w:val="20"/>
          <w:szCs w:val="20"/>
        </w:rPr>
      </w:pPr>
      <w:r w:rsidRPr="005171E1">
        <w:rPr>
          <w:rFonts w:ascii="Arial" w:hAnsi="Arial" w:cs="Arial"/>
          <w:sz w:val="20"/>
          <w:szCs w:val="20"/>
        </w:rPr>
        <w:t xml:space="preserve">Lo anterior en </w:t>
      </w:r>
      <w:r w:rsidR="006D56C3" w:rsidRPr="005171E1">
        <w:rPr>
          <w:rFonts w:ascii="Arial" w:hAnsi="Arial" w:cs="Arial"/>
          <w:sz w:val="20"/>
          <w:szCs w:val="20"/>
        </w:rPr>
        <w:t xml:space="preserve">atención a la obligación de las </w:t>
      </w:r>
      <w:r w:rsidR="00CA104D" w:rsidRPr="005171E1">
        <w:rPr>
          <w:rFonts w:ascii="Arial" w:hAnsi="Arial" w:cs="Arial"/>
          <w:sz w:val="20"/>
          <w:szCs w:val="20"/>
        </w:rPr>
        <w:t>personas servidoras</w:t>
      </w:r>
      <w:r w:rsidR="006D56C3" w:rsidRPr="005171E1">
        <w:rPr>
          <w:rFonts w:ascii="Arial" w:hAnsi="Arial" w:cs="Arial"/>
          <w:sz w:val="20"/>
          <w:szCs w:val="20"/>
        </w:rPr>
        <w:t xml:space="preserve"> públic</w:t>
      </w:r>
      <w:r w:rsidR="00CA104D" w:rsidRPr="005171E1">
        <w:rPr>
          <w:rFonts w:ascii="Arial" w:hAnsi="Arial" w:cs="Arial"/>
          <w:sz w:val="20"/>
          <w:szCs w:val="20"/>
        </w:rPr>
        <w:t>a</w:t>
      </w:r>
      <w:r w:rsidR="006D56C3" w:rsidRPr="005171E1">
        <w:rPr>
          <w:rFonts w:ascii="Arial" w:hAnsi="Arial" w:cs="Arial"/>
          <w:sz w:val="20"/>
          <w:szCs w:val="20"/>
        </w:rPr>
        <w:t xml:space="preserve">s del Tribunal Electoral del Poder Judicial de la Federación de presentar </w:t>
      </w:r>
      <w:r w:rsidR="006D56C3" w:rsidRPr="005171E1">
        <w:rPr>
          <w:rStyle w:val="Textoennegrita"/>
          <w:rFonts w:ascii="Arial" w:hAnsi="Arial" w:cs="Arial"/>
          <w:sz w:val="20"/>
          <w:szCs w:val="20"/>
        </w:rPr>
        <w:t xml:space="preserve">acta </w:t>
      </w:r>
      <w:r w:rsidR="00CA104D" w:rsidRPr="005171E1">
        <w:rPr>
          <w:rStyle w:val="Textoennegrita"/>
          <w:rFonts w:ascii="Arial" w:hAnsi="Arial" w:cs="Arial"/>
          <w:sz w:val="20"/>
          <w:szCs w:val="20"/>
        </w:rPr>
        <w:t xml:space="preserve">administrativa de </w:t>
      </w:r>
      <w:r w:rsidR="006D56C3" w:rsidRPr="005171E1">
        <w:rPr>
          <w:rStyle w:val="Textoennegrita"/>
          <w:rFonts w:ascii="Arial" w:hAnsi="Arial" w:cs="Arial"/>
          <w:sz w:val="20"/>
          <w:szCs w:val="20"/>
        </w:rPr>
        <w:t>entrega – recepción</w:t>
      </w:r>
      <w:r w:rsidR="006D56C3" w:rsidRPr="005171E1">
        <w:rPr>
          <w:rFonts w:ascii="Arial" w:hAnsi="Arial" w:cs="Arial"/>
          <w:sz w:val="20"/>
          <w:szCs w:val="20"/>
        </w:rPr>
        <w:t xml:space="preserve"> del cargo de nivel de Director de Área u homólogo en adelante, en los casos de “cese, despido, renuncia, destitución o licencia por tiempo definido o indefinido; </w:t>
      </w:r>
      <w:r w:rsidR="006D56C3" w:rsidRPr="005171E1">
        <w:rPr>
          <w:rStyle w:val="Textoennegrita"/>
          <w:rFonts w:ascii="Arial" w:hAnsi="Arial" w:cs="Arial"/>
          <w:sz w:val="20"/>
          <w:szCs w:val="20"/>
        </w:rPr>
        <w:t>cambio de nivel y/o puesto o por cambio de adscripción”</w:t>
      </w:r>
      <w:r w:rsidR="006D56C3" w:rsidRPr="005171E1">
        <w:rPr>
          <w:rFonts w:ascii="Arial" w:hAnsi="Arial" w:cs="Arial"/>
          <w:sz w:val="20"/>
          <w:szCs w:val="20"/>
        </w:rPr>
        <w:t>. </w:t>
      </w:r>
    </w:p>
    <w:p w14:paraId="244C6A42" w14:textId="691FB203" w:rsidR="006D56C3" w:rsidRPr="005171E1" w:rsidRDefault="006D56C3" w:rsidP="006D56C3">
      <w:pPr>
        <w:pStyle w:val="NormalWeb"/>
        <w:spacing w:after="120" w:afterAutospacing="0"/>
        <w:jc w:val="both"/>
        <w:rPr>
          <w:rFonts w:ascii="Arial" w:hAnsi="Arial" w:cs="Arial"/>
          <w:sz w:val="20"/>
          <w:szCs w:val="20"/>
        </w:rPr>
      </w:pPr>
      <w:r w:rsidRPr="005171E1">
        <w:rPr>
          <w:rFonts w:ascii="Arial" w:hAnsi="Arial" w:cs="Arial"/>
          <w:sz w:val="20"/>
          <w:szCs w:val="20"/>
        </w:rPr>
        <w:t> De conformidad con el último párrafo del artículo 6 del “</w:t>
      </w:r>
      <w:r w:rsidRPr="005171E1">
        <w:rPr>
          <w:rStyle w:val="Textoennegrita"/>
          <w:rFonts w:ascii="Arial" w:hAnsi="Arial" w:cs="Arial"/>
          <w:i/>
          <w:iCs/>
          <w:sz w:val="20"/>
          <w:szCs w:val="20"/>
        </w:rPr>
        <w:t>Acuerdo que establece las normas </w:t>
      </w:r>
      <w:r w:rsidRPr="005171E1">
        <w:rPr>
          <w:rStyle w:val="Textoennegrita"/>
          <w:rFonts w:ascii="Arial" w:hAnsi="Arial" w:cs="Arial"/>
          <w:sz w:val="20"/>
          <w:szCs w:val="20"/>
        </w:rPr>
        <w:t xml:space="preserve">y </w:t>
      </w:r>
      <w:r w:rsidRPr="005171E1">
        <w:rPr>
          <w:rStyle w:val="Textoennegrita"/>
          <w:rFonts w:ascii="Arial" w:hAnsi="Arial" w:cs="Arial"/>
          <w:i/>
          <w:iCs/>
          <w:sz w:val="20"/>
          <w:szCs w:val="20"/>
        </w:rPr>
        <w:t>políticas generales para la Entrega - Recepción de los asuntos </w:t>
      </w:r>
      <w:r w:rsidRPr="005171E1">
        <w:rPr>
          <w:rStyle w:val="Textoennegrita"/>
          <w:rFonts w:ascii="Arial" w:hAnsi="Arial" w:cs="Arial"/>
          <w:sz w:val="20"/>
          <w:szCs w:val="20"/>
        </w:rPr>
        <w:t xml:space="preserve">y recursos </w:t>
      </w:r>
      <w:r w:rsidRPr="005171E1">
        <w:rPr>
          <w:rStyle w:val="Textoennegrita"/>
          <w:rFonts w:ascii="Arial" w:hAnsi="Arial" w:cs="Arial"/>
          <w:i/>
          <w:iCs/>
          <w:sz w:val="20"/>
          <w:szCs w:val="20"/>
        </w:rPr>
        <w:t>asignados a los servidores públicos del Tribunal Electoral del Poder Judicial de la Federación al momento de separarse de su empleo, cargo </w:t>
      </w:r>
      <w:r w:rsidRPr="005171E1">
        <w:rPr>
          <w:rStyle w:val="Textoennegrita"/>
          <w:rFonts w:ascii="Arial" w:hAnsi="Arial" w:cs="Arial"/>
          <w:sz w:val="20"/>
          <w:szCs w:val="20"/>
        </w:rPr>
        <w:t xml:space="preserve">o </w:t>
      </w:r>
      <w:r w:rsidRPr="005171E1">
        <w:rPr>
          <w:rStyle w:val="Textoennegrita"/>
          <w:rFonts w:ascii="Arial" w:hAnsi="Arial" w:cs="Arial"/>
          <w:i/>
          <w:iCs/>
          <w:sz w:val="20"/>
          <w:szCs w:val="20"/>
        </w:rPr>
        <w:t>comisión”, </w:t>
      </w:r>
      <w:r w:rsidRPr="005171E1">
        <w:rPr>
          <w:rFonts w:ascii="Arial" w:hAnsi="Arial" w:cs="Arial"/>
          <w:sz w:val="20"/>
          <w:szCs w:val="20"/>
        </w:rPr>
        <w:t xml:space="preserve">que </w:t>
      </w:r>
      <w:r w:rsidR="000C43A5" w:rsidRPr="005171E1">
        <w:rPr>
          <w:rFonts w:ascii="Arial" w:hAnsi="Arial" w:cs="Arial"/>
          <w:sz w:val="20"/>
          <w:szCs w:val="20"/>
        </w:rPr>
        <w:t>establece lo siguiente</w:t>
      </w:r>
      <w:r w:rsidRPr="005171E1">
        <w:rPr>
          <w:rFonts w:ascii="Arial" w:hAnsi="Arial" w:cs="Arial"/>
          <w:sz w:val="20"/>
          <w:szCs w:val="20"/>
        </w:rPr>
        <w:t>:</w:t>
      </w:r>
    </w:p>
    <w:p w14:paraId="520BCE9D" w14:textId="193F62D1" w:rsidR="006D56C3" w:rsidRPr="005171E1" w:rsidRDefault="006D56C3" w:rsidP="002E1B84">
      <w:pPr>
        <w:pStyle w:val="NormalWeb"/>
        <w:spacing w:before="0" w:beforeAutospacing="0" w:after="0" w:afterAutospacing="0"/>
        <w:ind w:left="1416"/>
        <w:jc w:val="both"/>
        <w:rPr>
          <w:rFonts w:ascii="Arial" w:hAnsi="Arial" w:cs="Arial"/>
          <w:i/>
          <w:iCs/>
          <w:sz w:val="18"/>
          <w:szCs w:val="18"/>
        </w:rPr>
      </w:pPr>
      <w:r w:rsidRPr="005171E1">
        <w:rPr>
          <w:rStyle w:val="Textoennegrita"/>
          <w:rFonts w:ascii="Arial" w:hAnsi="Arial" w:cs="Arial"/>
          <w:i/>
          <w:iCs/>
          <w:sz w:val="18"/>
          <w:szCs w:val="18"/>
        </w:rPr>
        <w:t>Artículo 6.- </w:t>
      </w:r>
      <w:r w:rsidRPr="005171E1">
        <w:rPr>
          <w:rFonts w:ascii="Arial" w:hAnsi="Arial" w:cs="Arial"/>
          <w:i/>
          <w:iCs/>
          <w:sz w:val="18"/>
          <w:szCs w:val="18"/>
        </w:rPr>
        <w:t>El procedimiento de entrega - recepción de los recursos públicos que tuvieron o tendrán a su cargo los sujetos a este Acuerdo, deberá realizarse:</w:t>
      </w:r>
    </w:p>
    <w:p w14:paraId="7936F4FD" w14:textId="0AE40C8D" w:rsidR="00AF566A" w:rsidRPr="005171E1" w:rsidRDefault="00AF566A" w:rsidP="002E1B84">
      <w:pPr>
        <w:pStyle w:val="NormalWeb"/>
        <w:spacing w:before="0" w:beforeAutospacing="0" w:after="0" w:afterAutospacing="0"/>
        <w:ind w:left="1416"/>
        <w:jc w:val="both"/>
        <w:rPr>
          <w:rStyle w:val="Textoennegrita"/>
          <w:rFonts w:ascii="Arial" w:hAnsi="Arial" w:cs="Arial"/>
          <w:b w:val="0"/>
          <w:bCs w:val="0"/>
          <w:sz w:val="18"/>
          <w:szCs w:val="18"/>
        </w:rPr>
      </w:pPr>
      <w:r w:rsidRPr="005171E1">
        <w:rPr>
          <w:rStyle w:val="Textoennegrita"/>
          <w:rFonts w:ascii="Arial" w:hAnsi="Arial" w:cs="Arial"/>
          <w:b w:val="0"/>
          <w:bCs w:val="0"/>
          <w:sz w:val="18"/>
          <w:szCs w:val="18"/>
        </w:rPr>
        <w:t>…</w:t>
      </w:r>
    </w:p>
    <w:p w14:paraId="59EFFAFD" w14:textId="77777777" w:rsidR="006D590E" w:rsidRPr="005171E1" w:rsidRDefault="006D590E" w:rsidP="002E1B84">
      <w:pPr>
        <w:pStyle w:val="NormalWeb"/>
        <w:spacing w:before="0" w:beforeAutospacing="0" w:after="0" w:afterAutospacing="0"/>
        <w:ind w:left="1416"/>
        <w:jc w:val="both"/>
        <w:rPr>
          <w:rFonts w:ascii="Arial" w:hAnsi="Arial" w:cs="Arial"/>
          <w:sz w:val="18"/>
          <w:szCs w:val="18"/>
        </w:rPr>
      </w:pPr>
    </w:p>
    <w:p w14:paraId="72940751" w14:textId="39E17482" w:rsidR="006D56C3" w:rsidRPr="005171E1" w:rsidRDefault="006D56C3" w:rsidP="006D590E">
      <w:pPr>
        <w:pStyle w:val="NormalWeb"/>
        <w:spacing w:before="0" w:beforeAutospacing="0" w:after="0" w:afterAutospacing="0"/>
        <w:ind w:left="1416"/>
        <w:jc w:val="both"/>
        <w:rPr>
          <w:rFonts w:ascii="Arial" w:hAnsi="Arial" w:cs="Arial"/>
          <w:b/>
          <w:bCs/>
          <w:i/>
          <w:iCs/>
          <w:sz w:val="18"/>
          <w:szCs w:val="18"/>
        </w:rPr>
      </w:pPr>
      <w:r w:rsidRPr="005171E1">
        <w:rPr>
          <w:rStyle w:val="Textoennegrita"/>
          <w:rFonts w:ascii="Arial" w:hAnsi="Arial" w:cs="Arial"/>
          <w:b w:val="0"/>
          <w:bCs w:val="0"/>
          <w:i/>
          <w:iCs/>
          <w:sz w:val="18"/>
          <w:szCs w:val="18"/>
        </w:rPr>
        <w:t>En caso de que la persona servidora pública saliente haya ocupado el empleo, cargo o comisión, por un periodo menor o igual a quince días hábiles, en la misma área de adscripción, con los mismos recursos asignados, realizando las mismas actividades que venía desempeñando en su empleo, cargo o comisión anterior, se le podrá exentar de presentar Acta Administrativa de Entrega-Recepción, previa consulta y justificación que someta, por escrito, a consideración de la persona titular de la Contraloría Interna.</w:t>
      </w:r>
    </w:p>
    <w:p w14:paraId="2FDED11D" w14:textId="77777777" w:rsidR="003D7A45" w:rsidRPr="00551DBE" w:rsidRDefault="006D56C3" w:rsidP="00363E36">
      <w:pPr>
        <w:pStyle w:val="NormalWeb"/>
        <w:spacing w:before="0" w:beforeAutospacing="0" w:after="0" w:afterAutospacing="0"/>
        <w:jc w:val="both"/>
        <w:rPr>
          <w:rFonts w:ascii="Arial" w:hAnsi="Arial" w:cs="Arial"/>
          <w:sz w:val="20"/>
          <w:szCs w:val="20"/>
        </w:rPr>
      </w:pPr>
      <w:r w:rsidRPr="00A70B06">
        <w:rPr>
          <w:rFonts w:ascii="Arial" w:hAnsi="Arial" w:cs="Arial"/>
          <w:sz w:val="22"/>
          <w:szCs w:val="22"/>
        </w:rPr>
        <w:t> </w:t>
      </w:r>
    </w:p>
    <w:p w14:paraId="29AA96D4" w14:textId="47D24A84" w:rsidR="005171E1" w:rsidRDefault="00551DBE" w:rsidP="00363E36">
      <w:pPr>
        <w:pStyle w:val="NormalWeb"/>
        <w:spacing w:before="0" w:beforeAutospacing="0" w:after="0" w:afterAutospacing="0"/>
        <w:jc w:val="both"/>
        <w:rPr>
          <w:rFonts w:ascii="Arial" w:hAnsi="Arial" w:cs="Arial"/>
          <w:sz w:val="20"/>
          <w:szCs w:val="20"/>
        </w:rPr>
      </w:pPr>
      <w:r>
        <w:rPr>
          <w:rFonts w:ascii="Arial" w:hAnsi="Arial" w:cs="Arial"/>
          <w:sz w:val="20"/>
          <w:szCs w:val="20"/>
        </w:rPr>
        <w:t>Así como los a</w:t>
      </w:r>
      <w:r w:rsidR="005171E1" w:rsidRPr="005171E1">
        <w:rPr>
          <w:rFonts w:ascii="Arial" w:hAnsi="Arial" w:cs="Arial"/>
          <w:sz w:val="20"/>
          <w:szCs w:val="20"/>
        </w:rPr>
        <w:t>rtículos 3° y 5° del “Acuerdo General del Pleno del Órgano de Administración Judicial, por el que se autoriza la continuidad de la aplicación de la normativa administrativa emitida hasta antes del primero de septiembre de dos mil veinticinco, por la Suprema Corte de Justicia de la Nación y el Tribunal Electoral del Poder Judicial de la Federación, a través de las Unidades Administrativas correspondientes, hasta en tanto el Órgano de Administración Judicial emita las disposiciones respectivas”, aprobado por la Comisión de Administración, (Acuerdo General 7/2025)</w:t>
      </w:r>
    </w:p>
    <w:p w14:paraId="380107A7" w14:textId="77777777" w:rsidR="005171E1" w:rsidRPr="005171E1" w:rsidRDefault="005171E1" w:rsidP="00363E36">
      <w:pPr>
        <w:pStyle w:val="NormalWeb"/>
        <w:spacing w:before="0" w:beforeAutospacing="0" w:after="0" w:afterAutospacing="0"/>
        <w:jc w:val="both"/>
        <w:rPr>
          <w:rFonts w:ascii="Arial" w:hAnsi="Arial" w:cs="Arial"/>
          <w:sz w:val="20"/>
          <w:szCs w:val="20"/>
        </w:rPr>
      </w:pPr>
    </w:p>
    <w:p w14:paraId="11598E26" w14:textId="77777777" w:rsidR="001016DF" w:rsidRDefault="001016DF" w:rsidP="00363E36">
      <w:pPr>
        <w:pStyle w:val="NormalWeb"/>
        <w:spacing w:before="0" w:beforeAutospacing="0" w:after="0" w:afterAutospacing="0"/>
        <w:jc w:val="both"/>
        <w:rPr>
          <w:rFonts w:ascii="Arial" w:hAnsi="Arial" w:cs="Arial"/>
          <w:sz w:val="22"/>
          <w:szCs w:val="22"/>
        </w:rPr>
      </w:pPr>
    </w:p>
    <w:p w14:paraId="555C3B3E" w14:textId="29071FBE" w:rsidR="005106CB" w:rsidRPr="00A70B06" w:rsidRDefault="006D56C3" w:rsidP="00363E36">
      <w:pPr>
        <w:pStyle w:val="NormalWeb"/>
        <w:spacing w:before="0" w:beforeAutospacing="0" w:after="0" w:afterAutospacing="0"/>
        <w:jc w:val="both"/>
        <w:rPr>
          <w:rFonts w:ascii="Arial" w:hAnsi="Arial" w:cs="Arial"/>
          <w:sz w:val="22"/>
          <w:szCs w:val="22"/>
        </w:rPr>
      </w:pPr>
      <w:r w:rsidRPr="00A70B06">
        <w:rPr>
          <w:rFonts w:ascii="Arial" w:hAnsi="Arial" w:cs="Arial"/>
          <w:sz w:val="22"/>
          <w:szCs w:val="22"/>
        </w:rPr>
        <w:t> A</w:t>
      </w:r>
      <w:r w:rsidR="005106CB" w:rsidRPr="00A70B06">
        <w:rPr>
          <w:rFonts w:ascii="Arial" w:hAnsi="Arial" w:cs="Arial"/>
          <w:sz w:val="22"/>
          <w:szCs w:val="22"/>
        </w:rPr>
        <w:t xml:space="preserve"> </w:t>
      </w:r>
      <w:r w:rsidRPr="00A70B06">
        <w:rPr>
          <w:rFonts w:ascii="Arial" w:hAnsi="Arial" w:cs="Arial"/>
          <w:sz w:val="22"/>
          <w:szCs w:val="22"/>
        </w:rPr>
        <w:t>t</w:t>
      </w:r>
      <w:r w:rsidR="005106CB" w:rsidRPr="00A70B06">
        <w:rPr>
          <w:rFonts w:ascii="Arial" w:hAnsi="Arial" w:cs="Arial"/>
          <w:sz w:val="22"/>
          <w:szCs w:val="22"/>
        </w:rPr>
        <w:t xml:space="preserve"> e n t a m e n t e</w:t>
      </w:r>
    </w:p>
    <w:p w14:paraId="407DF31C" w14:textId="77777777" w:rsidR="003D7A45" w:rsidRDefault="003D7A45" w:rsidP="00363E36">
      <w:pPr>
        <w:pStyle w:val="NormalWeb"/>
        <w:spacing w:before="0" w:beforeAutospacing="0" w:after="0" w:afterAutospacing="0"/>
        <w:jc w:val="both"/>
        <w:rPr>
          <w:rFonts w:ascii="Arial" w:hAnsi="Arial" w:cs="Arial"/>
          <w:sz w:val="20"/>
          <w:szCs w:val="20"/>
        </w:rPr>
      </w:pPr>
    </w:p>
    <w:p w14:paraId="7B50D26B" w14:textId="3AE2CA13" w:rsidR="00374F8B" w:rsidRDefault="00374F8B" w:rsidP="00A70B06">
      <w:pPr>
        <w:pStyle w:val="NormalWeb"/>
        <w:spacing w:before="0" w:beforeAutospacing="0" w:after="0" w:afterAutospacing="0"/>
        <w:jc w:val="both"/>
      </w:pPr>
    </w:p>
    <w:sectPr w:rsidR="00374F8B" w:rsidSect="00551DBE">
      <w:headerReference w:type="default" r:id="rId6"/>
      <w:pgSz w:w="12240" w:h="15840"/>
      <w:pgMar w:top="1134" w:right="964" w:bottom="1134" w:left="96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8CB6" w14:textId="77777777" w:rsidR="00DB7257" w:rsidRDefault="00DB7257" w:rsidP="00AF566A">
      <w:pPr>
        <w:spacing w:after="0" w:line="240" w:lineRule="auto"/>
      </w:pPr>
      <w:r>
        <w:separator/>
      </w:r>
    </w:p>
  </w:endnote>
  <w:endnote w:type="continuationSeparator" w:id="0">
    <w:p w14:paraId="6A29BEDC" w14:textId="77777777" w:rsidR="00DB7257" w:rsidRDefault="00DB7257" w:rsidP="00AF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ECFA" w14:textId="77777777" w:rsidR="00DB7257" w:rsidRDefault="00DB7257" w:rsidP="00AF566A">
      <w:pPr>
        <w:spacing w:after="0" w:line="240" w:lineRule="auto"/>
      </w:pPr>
      <w:r>
        <w:separator/>
      </w:r>
    </w:p>
  </w:footnote>
  <w:footnote w:type="continuationSeparator" w:id="0">
    <w:p w14:paraId="77917ADB" w14:textId="77777777" w:rsidR="00DB7257" w:rsidRDefault="00DB7257" w:rsidP="00AF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E4CE" w14:textId="612C46B1" w:rsidR="00B201DD" w:rsidRDefault="005171E1" w:rsidP="00AF566A">
    <w:pPr>
      <w:pStyle w:val="Encabezado"/>
      <w:jc w:val="right"/>
      <w:rPr>
        <w:rFonts w:ascii="Arial" w:hAnsi="Arial"/>
      </w:rPr>
    </w:pPr>
    <w:r>
      <w:rPr>
        <w:rFonts w:ascii="Arial" w:hAnsi="Arial"/>
        <w:noProof/>
      </w:rPr>
      <w:drawing>
        <wp:anchor distT="0" distB="0" distL="114300" distR="114300" simplePos="0" relativeHeight="251658240" behindDoc="1" locked="0" layoutInCell="1" allowOverlap="1" wp14:anchorId="2FDF0932" wp14:editId="4EE9AE38">
          <wp:simplePos x="0" y="0"/>
          <wp:positionH relativeFrom="column">
            <wp:posOffset>344170</wp:posOffset>
          </wp:positionH>
          <wp:positionV relativeFrom="paragraph">
            <wp:posOffset>74295</wp:posOffset>
          </wp:positionV>
          <wp:extent cx="744855" cy="538480"/>
          <wp:effectExtent l="0" t="0" r="0" b="0"/>
          <wp:wrapTight wrapText="bothSides">
            <wp:wrapPolygon edited="0">
              <wp:start x="0" y="0"/>
              <wp:lineTo x="0" y="20632"/>
              <wp:lineTo x="20992" y="20632"/>
              <wp:lineTo x="20992" y="0"/>
              <wp:lineTo x="0" y="0"/>
            </wp:wrapPolygon>
          </wp:wrapTight>
          <wp:docPr id="19352371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538480"/>
                  </a:xfrm>
                  <a:prstGeom prst="rect">
                    <a:avLst/>
                  </a:prstGeom>
                  <a:noFill/>
                </pic:spPr>
              </pic:pic>
            </a:graphicData>
          </a:graphic>
          <wp14:sizeRelH relativeFrom="margin">
            <wp14:pctWidth>0</wp14:pctWidth>
          </wp14:sizeRelH>
          <wp14:sizeRelV relativeFrom="margin">
            <wp14:pctHeight>0</wp14:pctHeight>
          </wp14:sizeRelV>
        </wp:anchor>
      </w:drawing>
    </w:r>
  </w:p>
  <w:p w14:paraId="59563918" w14:textId="6BB7EA06" w:rsidR="00B201DD" w:rsidRDefault="00B201DD" w:rsidP="00AF566A">
    <w:pPr>
      <w:pStyle w:val="Encabezado"/>
      <w:jc w:val="right"/>
      <w:rPr>
        <w:rFonts w:ascii="Arial" w:hAnsi="Arial"/>
      </w:rPr>
    </w:pPr>
  </w:p>
  <w:p w14:paraId="39757515" w14:textId="1289859C" w:rsidR="00B201DD" w:rsidRDefault="00B201DD" w:rsidP="00AF566A">
    <w:pPr>
      <w:pStyle w:val="Encabezado"/>
      <w:jc w:val="right"/>
      <w:rPr>
        <w:rFonts w:ascii="Arial" w:hAnsi="Arial"/>
      </w:rPr>
    </w:pPr>
  </w:p>
  <w:p w14:paraId="6530368B" w14:textId="7CC9B4DC" w:rsidR="00AF566A" w:rsidRPr="00AF566A" w:rsidRDefault="00AF566A" w:rsidP="00AF566A">
    <w:pPr>
      <w:pStyle w:val="Encabezado"/>
      <w:jc w:val="right"/>
      <w:rPr>
        <w:rFonts w:ascii="Arial" w:hAnsi="Arial"/>
      </w:rPr>
    </w:pPr>
    <w:r w:rsidRPr="00AF566A">
      <w:rPr>
        <w:rFonts w:ascii="Arial" w:hAnsi="Arial"/>
      </w:rPr>
      <w:t xml:space="preserve">Ciudad de México a </w:t>
    </w:r>
    <w:r w:rsidR="001E09C8">
      <w:rPr>
        <w:rFonts w:ascii="Arial" w:hAnsi="Arial"/>
      </w:rPr>
      <w:t>__</w:t>
    </w:r>
    <w:r w:rsidRPr="00AF566A">
      <w:rPr>
        <w:rFonts w:ascii="Arial" w:hAnsi="Arial"/>
      </w:rPr>
      <w:t xml:space="preserve"> de </w:t>
    </w:r>
    <w:r w:rsidR="000F09FC">
      <w:rPr>
        <w:rFonts w:ascii="Arial" w:hAnsi="Arial"/>
      </w:rPr>
      <w:t>_________</w:t>
    </w:r>
    <w:r w:rsidRPr="00AF566A">
      <w:rPr>
        <w:rFonts w:ascii="Arial" w:hAnsi="Arial"/>
      </w:rPr>
      <w:t xml:space="preserve"> de 202</w:t>
    </w:r>
    <w:r w:rsidR="0029315B">
      <w:rPr>
        <w:rFonts w:ascii="Arial" w:hAnsi="Arial"/>
      </w:rPr>
      <w:t>5</w:t>
    </w:r>
    <w:r w:rsidRPr="00AF566A">
      <w:rPr>
        <w:rFonts w:ascii="Arial" w:hAnsi="Aria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C3"/>
    <w:rsid w:val="00000E5A"/>
    <w:rsid w:val="000C43A5"/>
    <w:rsid w:val="000D4F6E"/>
    <w:rsid w:val="000F09FC"/>
    <w:rsid w:val="0010020A"/>
    <w:rsid w:val="001016DF"/>
    <w:rsid w:val="001A3B0A"/>
    <w:rsid w:val="001E09C8"/>
    <w:rsid w:val="002078CB"/>
    <w:rsid w:val="002213A5"/>
    <w:rsid w:val="002216D7"/>
    <w:rsid w:val="0027120E"/>
    <w:rsid w:val="002801DF"/>
    <w:rsid w:val="0029315B"/>
    <w:rsid w:val="002C0F6A"/>
    <w:rsid w:val="002E1B84"/>
    <w:rsid w:val="002E2AC9"/>
    <w:rsid w:val="00363E36"/>
    <w:rsid w:val="00374F8B"/>
    <w:rsid w:val="003771FA"/>
    <w:rsid w:val="003C71B6"/>
    <w:rsid w:val="003D7A45"/>
    <w:rsid w:val="00417A4D"/>
    <w:rsid w:val="00431483"/>
    <w:rsid w:val="00441CA7"/>
    <w:rsid w:val="0047347F"/>
    <w:rsid w:val="00485D39"/>
    <w:rsid w:val="004A30E9"/>
    <w:rsid w:val="004D1B33"/>
    <w:rsid w:val="005106CB"/>
    <w:rsid w:val="005171E1"/>
    <w:rsid w:val="00526CEB"/>
    <w:rsid w:val="00551DBE"/>
    <w:rsid w:val="00572D94"/>
    <w:rsid w:val="00595804"/>
    <w:rsid w:val="005A62C9"/>
    <w:rsid w:val="005C13DE"/>
    <w:rsid w:val="005F2DE9"/>
    <w:rsid w:val="005F31F3"/>
    <w:rsid w:val="00620DCA"/>
    <w:rsid w:val="00624365"/>
    <w:rsid w:val="0064110A"/>
    <w:rsid w:val="0069263C"/>
    <w:rsid w:val="006A353E"/>
    <w:rsid w:val="006D56C3"/>
    <w:rsid w:val="006D590E"/>
    <w:rsid w:val="00714D85"/>
    <w:rsid w:val="00723C4C"/>
    <w:rsid w:val="007A2BD2"/>
    <w:rsid w:val="007D5C1A"/>
    <w:rsid w:val="008B72D7"/>
    <w:rsid w:val="008C24FC"/>
    <w:rsid w:val="008F3170"/>
    <w:rsid w:val="00941D91"/>
    <w:rsid w:val="00951FAB"/>
    <w:rsid w:val="00964369"/>
    <w:rsid w:val="0096541D"/>
    <w:rsid w:val="009841C2"/>
    <w:rsid w:val="0099571E"/>
    <w:rsid w:val="00997E69"/>
    <w:rsid w:val="009B2392"/>
    <w:rsid w:val="009E5133"/>
    <w:rsid w:val="00A051F0"/>
    <w:rsid w:val="00A31FC6"/>
    <w:rsid w:val="00A42DE2"/>
    <w:rsid w:val="00A44891"/>
    <w:rsid w:val="00A70B06"/>
    <w:rsid w:val="00A90A63"/>
    <w:rsid w:val="00AA6050"/>
    <w:rsid w:val="00AD3911"/>
    <w:rsid w:val="00AF566A"/>
    <w:rsid w:val="00B201DD"/>
    <w:rsid w:val="00C266C1"/>
    <w:rsid w:val="00C35269"/>
    <w:rsid w:val="00C74EA4"/>
    <w:rsid w:val="00C832FA"/>
    <w:rsid w:val="00CA104D"/>
    <w:rsid w:val="00CA65E1"/>
    <w:rsid w:val="00CF7240"/>
    <w:rsid w:val="00CF7662"/>
    <w:rsid w:val="00D55031"/>
    <w:rsid w:val="00D973EF"/>
    <w:rsid w:val="00DB7257"/>
    <w:rsid w:val="00DE197B"/>
    <w:rsid w:val="00DF382B"/>
    <w:rsid w:val="00EA1501"/>
    <w:rsid w:val="00EA5B27"/>
    <w:rsid w:val="00EC4C5E"/>
    <w:rsid w:val="00ED2D82"/>
    <w:rsid w:val="00ED62E5"/>
    <w:rsid w:val="00F44EF9"/>
    <w:rsid w:val="00FC5D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97769"/>
  <w15:chartTrackingRefBased/>
  <w15:docId w15:val="{635E61EE-E7A4-4B58-AD26-4731A475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Arial"/>
        <w:color w:val="000000"/>
        <w:sz w:val="22"/>
        <w:szCs w:val="24"/>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D56C3"/>
    <w:pPr>
      <w:spacing w:before="100" w:beforeAutospacing="1" w:after="100" w:afterAutospacing="1" w:line="240" w:lineRule="auto"/>
    </w:pPr>
    <w:rPr>
      <w:rFonts w:ascii="Times New Roman" w:eastAsia="Times New Roman" w:hAnsi="Times New Roman" w:cs="Times New Roman"/>
      <w:color w:val="auto"/>
      <w:sz w:val="24"/>
      <w:lang w:eastAsia="es-MX"/>
    </w:rPr>
  </w:style>
  <w:style w:type="character" w:styleId="Textoennegrita">
    <w:name w:val="Strong"/>
    <w:basedOn w:val="Fuentedeprrafopredeter"/>
    <w:uiPriority w:val="22"/>
    <w:qFormat/>
    <w:rsid w:val="006D56C3"/>
    <w:rPr>
      <w:b/>
      <w:bCs/>
    </w:rPr>
  </w:style>
  <w:style w:type="table" w:styleId="Tablaconcuadrcula">
    <w:name w:val="Table Grid"/>
    <w:basedOn w:val="Tablanormal"/>
    <w:uiPriority w:val="39"/>
    <w:rsid w:val="00EA1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F56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566A"/>
  </w:style>
  <w:style w:type="paragraph" w:styleId="Piedepgina">
    <w:name w:val="footer"/>
    <w:basedOn w:val="Normal"/>
    <w:link w:val="PiedepginaCar"/>
    <w:uiPriority w:val="99"/>
    <w:unhideWhenUsed/>
    <w:rsid w:val="00AF56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5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3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467</Words>
  <Characters>2383</Characters>
  <Application>Microsoft Office Word</Application>
  <DocSecurity>0</DocSecurity>
  <Lines>70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Rocío de la Torre Aguilar</dc:creator>
  <cp:keywords/>
  <dc:description/>
  <cp:lastModifiedBy>María del Rocío de la Torre Aguilar</cp:lastModifiedBy>
  <cp:revision>8</cp:revision>
  <cp:lastPrinted>2024-11-19T18:04:00Z</cp:lastPrinted>
  <dcterms:created xsi:type="dcterms:W3CDTF">2025-09-11T16:59:00Z</dcterms:created>
  <dcterms:modified xsi:type="dcterms:W3CDTF">2025-09-26T14:30:00Z</dcterms:modified>
</cp:coreProperties>
</file>