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1E0" w:firstRow="1" w:lastRow="1" w:firstColumn="1" w:lastColumn="1" w:noHBand="0" w:noVBand="0"/>
      </w:tblPr>
      <w:tblGrid>
        <w:gridCol w:w="4836"/>
      </w:tblGrid>
      <w:tr w:rsidR="00A14B79" w:rsidRPr="009C258B" w:rsidTr="00947AFD">
        <w:trPr>
          <w:jc w:val="right"/>
        </w:trPr>
        <w:tc>
          <w:tcPr>
            <w:tcW w:w="4836" w:type="dxa"/>
          </w:tcPr>
          <w:p w:rsidR="001D492B" w:rsidRPr="007D1D62" w:rsidRDefault="00A14B79" w:rsidP="001D492B">
            <w:pPr>
              <w:ind w:left="-90"/>
              <w:jc w:val="center"/>
              <w:rPr>
                <w:rFonts w:ascii="Arial" w:hAnsi="Arial" w:cs="Arial"/>
                <w:b/>
                <w:sz w:val="22"/>
                <w:szCs w:val="22"/>
              </w:rPr>
            </w:pPr>
            <w:r w:rsidRPr="007D1D62">
              <w:rPr>
                <w:rFonts w:ascii="Arial" w:hAnsi="Arial" w:cs="Arial"/>
                <w:b/>
                <w:sz w:val="22"/>
                <w:szCs w:val="22"/>
              </w:rPr>
              <w:t xml:space="preserve">ADMISIÓN </w:t>
            </w:r>
            <w:r w:rsidRPr="007D1D62">
              <w:rPr>
                <w:rFonts w:ascii="Arial" w:hAnsi="Arial" w:cs="Arial"/>
                <w:b/>
                <w:sz w:val="22"/>
                <w:szCs w:val="22"/>
              </w:rPr>
              <w:br/>
            </w:r>
          </w:p>
          <w:p w:rsidR="00A14B79" w:rsidRPr="007D1D62" w:rsidRDefault="00A14B79" w:rsidP="001D492B">
            <w:pPr>
              <w:ind w:left="-90"/>
              <w:jc w:val="both"/>
              <w:rPr>
                <w:rFonts w:ascii="Arial" w:hAnsi="Arial" w:cs="Arial"/>
                <w:b/>
                <w:sz w:val="22"/>
                <w:szCs w:val="22"/>
              </w:rPr>
            </w:pPr>
            <w:r w:rsidRPr="007D1D62">
              <w:rPr>
                <w:rFonts w:ascii="Arial" w:hAnsi="Arial" w:cs="Arial"/>
                <w:b/>
                <w:sz w:val="22"/>
                <w:szCs w:val="22"/>
              </w:rPr>
              <w:t>JUICIO PARA LA PROTECCIÓN DE LOS DERECHOS POLÍTICO-ELECTORALES DEL CIUDADANO</w:t>
            </w:r>
          </w:p>
          <w:p w:rsidR="001D492B" w:rsidRPr="007D1D62" w:rsidRDefault="001D492B" w:rsidP="001D492B">
            <w:pPr>
              <w:widowControl w:val="0"/>
              <w:jc w:val="both"/>
              <w:rPr>
                <w:rFonts w:ascii="Arial" w:hAnsi="Arial" w:cs="Arial"/>
                <w:b/>
                <w:sz w:val="22"/>
                <w:szCs w:val="22"/>
              </w:rPr>
            </w:pPr>
          </w:p>
          <w:p w:rsidR="001D492B" w:rsidRPr="001D492B" w:rsidRDefault="001D492B" w:rsidP="001D492B">
            <w:pPr>
              <w:ind w:left="-90"/>
              <w:jc w:val="both"/>
              <w:rPr>
                <w:rFonts w:ascii="Arial" w:hAnsi="Arial" w:cs="Arial"/>
                <w:b/>
                <w:sz w:val="22"/>
                <w:szCs w:val="22"/>
              </w:rPr>
            </w:pPr>
            <w:r w:rsidRPr="001D492B">
              <w:rPr>
                <w:rFonts w:ascii="Arial" w:hAnsi="Arial" w:cs="Arial"/>
                <w:b/>
                <w:sz w:val="22"/>
                <w:szCs w:val="22"/>
              </w:rPr>
              <w:t xml:space="preserve">EXPEDIENTE: </w:t>
            </w:r>
            <w:r w:rsidRPr="000C4D90">
              <w:rPr>
                <w:rFonts w:ascii="Arial" w:hAnsi="Arial" w:cs="Arial"/>
                <w:sz w:val="22"/>
                <w:szCs w:val="22"/>
              </w:rPr>
              <w:t>SM-JDC-45/2017</w:t>
            </w:r>
          </w:p>
          <w:p w:rsidR="001D492B" w:rsidRPr="001D492B" w:rsidRDefault="001D492B" w:rsidP="001D492B">
            <w:pPr>
              <w:ind w:left="-90"/>
              <w:jc w:val="both"/>
              <w:rPr>
                <w:rFonts w:ascii="Arial" w:hAnsi="Arial" w:cs="Arial"/>
                <w:b/>
                <w:sz w:val="22"/>
                <w:szCs w:val="22"/>
              </w:rPr>
            </w:pPr>
          </w:p>
          <w:p w:rsidR="001D492B" w:rsidRPr="000C4D90" w:rsidRDefault="001D492B" w:rsidP="001D492B">
            <w:pPr>
              <w:ind w:left="-90"/>
              <w:jc w:val="both"/>
              <w:rPr>
                <w:rFonts w:ascii="Arial" w:hAnsi="Arial" w:cs="Arial"/>
                <w:sz w:val="22"/>
                <w:szCs w:val="22"/>
              </w:rPr>
            </w:pPr>
            <w:r w:rsidRPr="001D492B">
              <w:rPr>
                <w:rFonts w:ascii="Arial" w:hAnsi="Arial" w:cs="Arial"/>
                <w:b/>
                <w:sz w:val="22"/>
                <w:szCs w:val="22"/>
              </w:rPr>
              <w:t xml:space="preserve">ACTORA: </w:t>
            </w:r>
            <w:r w:rsidRPr="000C4D90">
              <w:rPr>
                <w:rFonts w:ascii="Arial" w:hAnsi="Arial" w:cs="Arial"/>
                <w:sz w:val="22"/>
                <w:szCs w:val="22"/>
              </w:rPr>
              <w:t>ORGANIZACIÓN HUMANISTAS RENOVADOS POR QUERÉTARO, A.C.</w:t>
            </w:r>
          </w:p>
          <w:p w:rsidR="001D492B" w:rsidRPr="001D492B" w:rsidRDefault="001D492B" w:rsidP="001D492B">
            <w:pPr>
              <w:ind w:left="-90"/>
              <w:jc w:val="both"/>
              <w:rPr>
                <w:rFonts w:ascii="Arial" w:hAnsi="Arial" w:cs="Arial"/>
                <w:b/>
                <w:sz w:val="22"/>
                <w:szCs w:val="22"/>
              </w:rPr>
            </w:pPr>
          </w:p>
          <w:p w:rsidR="001D492B" w:rsidRPr="000C4D90" w:rsidRDefault="001D492B" w:rsidP="001D492B">
            <w:pPr>
              <w:ind w:left="-90"/>
              <w:jc w:val="both"/>
              <w:rPr>
                <w:rFonts w:ascii="Arial" w:hAnsi="Arial" w:cs="Arial"/>
                <w:sz w:val="22"/>
                <w:szCs w:val="22"/>
              </w:rPr>
            </w:pPr>
            <w:r w:rsidRPr="001D492B">
              <w:rPr>
                <w:rFonts w:ascii="Arial" w:hAnsi="Arial" w:cs="Arial"/>
                <w:b/>
                <w:sz w:val="22"/>
                <w:szCs w:val="22"/>
              </w:rPr>
              <w:t xml:space="preserve">RESPONSABLE: </w:t>
            </w:r>
            <w:r w:rsidRPr="000C4D90">
              <w:rPr>
                <w:rFonts w:ascii="Arial" w:hAnsi="Arial" w:cs="Arial"/>
                <w:sz w:val="22"/>
                <w:szCs w:val="22"/>
              </w:rPr>
              <w:t>TRIBUNAL ELECTORAL DEL ESTADO DE QUERÉTARO</w:t>
            </w:r>
          </w:p>
          <w:p w:rsidR="00A14B79" w:rsidRPr="001D492B" w:rsidRDefault="00A14B79" w:rsidP="007D1D62">
            <w:pPr>
              <w:ind w:left="-90"/>
              <w:jc w:val="both"/>
              <w:rPr>
                <w:rFonts w:ascii="Arial" w:eastAsia="Calibri" w:hAnsi="Arial" w:cs="Arial"/>
                <w:sz w:val="22"/>
                <w:szCs w:val="22"/>
                <w:lang w:eastAsia="en-US"/>
              </w:rPr>
            </w:pPr>
          </w:p>
        </w:tc>
      </w:tr>
    </w:tbl>
    <w:p w:rsidR="00A14B79" w:rsidRPr="002817A4" w:rsidRDefault="00A14B79" w:rsidP="007D1D62">
      <w:pPr>
        <w:spacing w:before="100" w:beforeAutospacing="1" w:after="100" w:afterAutospacing="1" w:line="336" w:lineRule="auto"/>
        <w:jc w:val="both"/>
        <w:rPr>
          <w:rFonts w:ascii="Arial" w:hAnsi="Arial" w:cs="Arial"/>
        </w:rPr>
      </w:pPr>
      <w:r w:rsidRPr="002817A4">
        <w:rPr>
          <w:rFonts w:ascii="Arial" w:hAnsi="Arial" w:cs="Arial"/>
        </w:rPr>
        <w:t xml:space="preserve">Monterrey, Nuevo León, a </w:t>
      </w:r>
      <w:r w:rsidR="001D492B" w:rsidRPr="002817A4">
        <w:rPr>
          <w:rFonts w:ascii="Arial" w:hAnsi="Arial" w:cs="Arial"/>
        </w:rPr>
        <w:t>veinticuatro de abril</w:t>
      </w:r>
      <w:r w:rsidRPr="002817A4">
        <w:rPr>
          <w:rFonts w:ascii="Arial" w:hAnsi="Arial" w:cs="Arial"/>
        </w:rPr>
        <w:t xml:space="preserve"> de dos mil diecisiete.</w:t>
      </w:r>
    </w:p>
    <w:p w:rsidR="00A14B79" w:rsidRPr="002817A4" w:rsidRDefault="001D492B" w:rsidP="007D1D62">
      <w:pPr>
        <w:spacing w:before="100" w:beforeAutospacing="1" w:after="100" w:afterAutospacing="1" w:line="336" w:lineRule="auto"/>
        <w:jc w:val="both"/>
        <w:rPr>
          <w:rFonts w:ascii="Arial" w:hAnsi="Arial" w:cs="Arial"/>
          <w:b/>
          <w:lang w:val="es-ES"/>
        </w:rPr>
      </w:pPr>
      <w:r w:rsidRPr="002817A4">
        <w:rPr>
          <w:rFonts w:ascii="Arial" w:hAnsi="Arial" w:cs="Arial"/>
        </w:rPr>
        <w:t>C</w:t>
      </w:r>
      <w:r w:rsidR="00A14B79" w:rsidRPr="002817A4">
        <w:rPr>
          <w:rFonts w:ascii="Arial" w:hAnsi="Arial" w:cs="Arial"/>
        </w:rPr>
        <w:t xml:space="preserve">on fundamento en lo dispuesto por los artículos 199, fracción VII y XV, de la Ley Orgánica del Poder Judicial de la Federación; </w:t>
      </w:r>
      <w:r w:rsidR="00A14B79" w:rsidRPr="002817A4">
        <w:rPr>
          <w:rFonts w:ascii="Arial" w:hAnsi="Arial" w:cs="Arial"/>
          <w:bCs/>
        </w:rPr>
        <w:t>6, párrafo 1,</w:t>
      </w:r>
      <w:r w:rsidRPr="002817A4">
        <w:rPr>
          <w:rFonts w:ascii="Arial" w:hAnsi="Arial" w:cs="Arial"/>
          <w:bCs/>
        </w:rPr>
        <w:t xml:space="preserve"> y</w:t>
      </w:r>
      <w:r w:rsidR="00A14B79" w:rsidRPr="002817A4">
        <w:rPr>
          <w:rFonts w:ascii="Arial" w:hAnsi="Arial" w:cs="Arial"/>
          <w:bCs/>
        </w:rPr>
        <w:t xml:space="preserve"> </w:t>
      </w:r>
      <w:r w:rsidR="00A14B79" w:rsidRPr="002817A4">
        <w:rPr>
          <w:rFonts w:ascii="Arial" w:hAnsi="Arial" w:cs="Arial"/>
        </w:rPr>
        <w:t>19 párrafo 1, incisos a) y e), de la Ley General del Sistema de Medios de Impugnación en Materia Electoral; 40, 44, fracciones I, II, III y IX, 52, fracción I, y 56</w:t>
      </w:r>
      <w:r w:rsidR="00E73B93" w:rsidRPr="002817A4">
        <w:rPr>
          <w:rFonts w:ascii="Arial" w:hAnsi="Arial" w:cs="Arial"/>
        </w:rPr>
        <w:t>,</w:t>
      </w:r>
      <w:r w:rsidR="00A14B79" w:rsidRPr="002817A4">
        <w:rPr>
          <w:rFonts w:ascii="Arial" w:hAnsi="Arial" w:cs="Arial"/>
        </w:rPr>
        <w:t xml:space="preserve"> del Reglamento Interno del Tribunal Electoral del Poder Judicial de la Federación, </w:t>
      </w:r>
      <w:r w:rsidR="00A14B79" w:rsidRPr="002817A4">
        <w:rPr>
          <w:rFonts w:ascii="Arial" w:hAnsi="Arial" w:cs="Arial"/>
          <w:b/>
        </w:rPr>
        <w:t>SE ACUERDA:</w:t>
      </w:r>
    </w:p>
    <w:p w:rsidR="00A14B79" w:rsidRPr="002817A4" w:rsidRDefault="00A14B79" w:rsidP="007D1D62">
      <w:pPr>
        <w:spacing w:before="100" w:beforeAutospacing="1" w:after="100" w:afterAutospacing="1" w:line="336" w:lineRule="auto"/>
        <w:jc w:val="both"/>
        <w:rPr>
          <w:rFonts w:ascii="Arial" w:hAnsi="Arial" w:cs="Arial"/>
        </w:rPr>
      </w:pPr>
      <w:r w:rsidRPr="002817A4">
        <w:rPr>
          <w:rFonts w:ascii="Arial" w:hAnsi="Arial" w:cs="Arial"/>
          <w:b/>
          <w:lang w:val="es-ES"/>
        </w:rPr>
        <w:t xml:space="preserve">I. </w:t>
      </w:r>
      <w:r w:rsidRPr="002817A4">
        <w:rPr>
          <w:rFonts w:ascii="Arial" w:hAnsi="Arial" w:cs="Arial"/>
          <w:b/>
        </w:rPr>
        <w:t>Admisión.</w:t>
      </w:r>
      <w:r w:rsidRPr="002817A4">
        <w:rPr>
          <w:rFonts w:ascii="Arial" w:hAnsi="Arial" w:cs="Arial"/>
        </w:rPr>
        <w:t xml:space="preserve"> Se admite el juicio ciudadano, toda vez que reúne los requisitos previstos en los artículos 8, 9, párrafo 1, 79 y 80, de la ley procesal de referencia, conforme a lo siguiente:</w:t>
      </w:r>
    </w:p>
    <w:p w:rsidR="002817A4" w:rsidRPr="002817A4" w:rsidRDefault="00A14B79" w:rsidP="007D1D62">
      <w:pPr>
        <w:spacing w:before="100" w:beforeAutospacing="1" w:after="100" w:afterAutospacing="1" w:line="336" w:lineRule="auto"/>
        <w:jc w:val="both"/>
        <w:rPr>
          <w:rFonts w:ascii="Arial" w:hAnsi="Arial" w:cs="Arial"/>
          <w:bCs/>
          <w:lang w:val="es-ES"/>
        </w:rPr>
      </w:pPr>
      <w:r w:rsidRPr="002817A4">
        <w:rPr>
          <w:rFonts w:ascii="Arial" w:hAnsi="Arial" w:cs="Arial"/>
          <w:b/>
        </w:rPr>
        <w:t>a) Oportunidad.</w:t>
      </w:r>
      <w:r w:rsidRPr="002817A4">
        <w:rPr>
          <w:rFonts w:ascii="Arial" w:hAnsi="Arial" w:cs="Arial"/>
        </w:rPr>
        <w:t xml:space="preserve"> Se promovió dentro del plazo legal de cuatro días, pues la </w:t>
      </w:r>
      <w:r w:rsidR="00833437" w:rsidRPr="002817A4">
        <w:rPr>
          <w:rFonts w:ascii="Arial" w:hAnsi="Arial" w:cs="Arial"/>
        </w:rPr>
        <w:t>resolución</w:t>
      </w:r>
      <w:r w:rsidRPr="002817A4">
        <w:rPr>
          <w:rFonts w:ascii="Arial" w:hAnsi="Arial" w:cs="Arial"/>
        </w:rPr>
        <w:t xml:space="preserve"> </w:t>
      </w:r>
      <w:r w:rsidR="006A5D9E" w:rsidRPr="002817A4">
        <w:rPr>
          <w:rFonts w:ascii="Arial" w:hAnsi="Arial" w:cs="Arial"/>
        </w:rPr>
        <w:t>impugnada</w:t>
      </w:r>
      <w:r w:rsidRPr="002817A4">
        <w:rPr>
          <w:rFonts w:ascii="Arial" w:hAnsi="Arial" w:cs="Arial"/>
        </w:rPr>
        <w:t xml:space="preserve"> se notificó a la asociación actora el </w:t>
      </w:r>
      <w:r w:rsidR="002817A4" w:rsidRPr="002817A4">
        <w:rPr>
          <w:rFonts w:ascii="Arial" w:hAnsi="Arial" w:cs="Arial"/>
        </w:rPr>
        <w:t>treinta y uno de marzo</w:t>
      </w:r>
      <w:r w:rsidRPr="002817A4">
        <w:rPr>
          <w:rFonts w:ascii="Arial" w:hAnsi="Arial" w:cs="Arial"/>
        </w:rPr>
        <w:t xml:space="preserve"> de este año</w:t>
      </w:r>
      <w:r w:rsidRPr="002817A4">
        <w:rPr>
          <w:rStyle w:val="Refdenotaalpie"/>
          <w:rFonts w:ascii="Arial" w:hAnsi="Arial" w:cs="Arial"/>
        </w:rPr>
        <w:footnoteReference w:id="1"/>
      </w:r>
      <w:r w:rsidRPr="002817A4">
        <w:rPr>
          <w:rFonts w:ascii="Arial" w:hAnsi="Arial" w:cs="Arial"/>
        </w:rPr>
        <w:t xml:space="preserve"> y el medio de defensa se presentó el </w:t>
      </w:r>
      <w:r w:rsidR="002817A4" w:rsidRPr="002817A4">
        <w:rPr>
          <w:rFonts w:ascii="Arial" w:hAnsi="Arial" w:cs="Arial"/>
        </w:rPr>
        <w:t>seis</w:t>
      </w:r>
      <w:r w:rsidRPr="002817A4">
        <w:rPr>
          <w:rFonts w:ascii="Arial" w:hAnsi="Arial" w:cs="Arial"/>
        </w:rPr>
        <w:t xml:space="preserve"> </w:t>
      </w:r>
      <w:r w:rsidR="0025495D">
        <w:rPr>
          <w:rFonts w:ascii="Arial" w:hAnsi="Arial" w:cs="Arial"/>
        </w:rPr>
        <w:t>de abril sigui</w:t>
      </w:r>
      <w:r w:rsidRPr="002817A4">
        <w:rPr>
          <w:rFonts w:ascii="Arial" w:hAnsi="Arial" w:cs="Arial"/>
        </w:rPr>
        <w:t>e</w:t>
      </w:r>
      <w:r w:rsidR="0025495D">
        <w:rPr>
          <w:rFonts w:ascii="Arial" w:hAnsi="Arial" w:cs="Arial"/>
        </w:rPr>
        <w:t>nte</w:t>
      </w:r>
      <w:r w:rsidR="002817A4" w:rsidRPr="002817A4">
        <w:rPr>
          <w:rFonts w:ascii="Arial" w:hAnsi="Arial" w:cs="Arial"/>
        </w:rPr>
        <w:t xml:space="preserve">, </w:t>
      </w:r>
      <w:r w:rsidR="002817A4" w:rsidRPr="002817A4">
        <w:rPr>
          <w:rFonts w:ascii="Arial" w:eastAsia="Calibri" w:hAnsi="Arial" w:cs="Arial"/>
          <w:lang w:val="es-MX" w:eastAsia="en-US"/>
        </w:rPr>
        <w:t>sin contar en el</w:t>
      </w:r>
      <w:r w:rsidR="002817A4" w:rsidRPr="002817A4">
        <w:rPr>
          <w:rFonts w:ascii="Arial" w:eastAsia="Calibri" w:hAnsi="Arial" w:cs="Arial"/>
          <w:lang w:val="es-MX" w:eastAsia="es-MX"/>
        </w:rPr>
        <w:t xml:space="preserve"> cómputo respectivo los días uno y dos de abril por ser sábado y domingo</w:t>
      </w:r>
      <w:r w:rsidR="000C4D90">
        <w:rPr>
          <w:rFonts w:ascii="Arial" w:eastAsia="Calibri" w:hAnsi="Arial" w:cs="Arial"/>
          <w:lang w:val="es-MX" w:eastAsia="es-MX"/>
        </w:rPr>
        <w:t>.</w:t>
      </w:r>
      <w:r w:rsidR="000C4D90">
        <w:rPr>
          <w:rStyle w:val="Refdenotaalpie"/>
          <w:rFonts w:ascii="Arial" w:eastAsia="Calibri" w:hAnsi="Arial" w:cs="Arial"/>
          <w:lang w:val="es-MX" w:eastAsia="es-MX"/>
        </w:rPr>
        <w:footnoteReference w:id="2"/>
      </w:r>
    </w:p>
    <w:p w:rsidR="00A14B79" w:rsidRPr="002817A4" w:rsidRDefault="00A14B79" w:rsidP="007D1D62">
      <w:pPr>
        <w:spacing w:before="100" w:beforeAutospacing="1" w:after="100" w:afterAutospacing="1" w:line="336" w:lineRule="auto"/>
        <w:jc w:val="both"/>
        <w:rPr>
          <w:rFonts w:ascii="Arial" w:hAnsi="Arial" w:cs="Arial"/>
        </w:rPr>
      </w:pPr>
      <w:r w:rsidRPr="002817A4">
        <w:rPr>
          <w:rFonts w:ascii="Arial" w:hAnsi="Arial" w:cs="Arial"/>
          <w:b/>
          <w:bCs/>
          <w:shd w:val="clear" w:color="auto" w:fill="FFFFFF"/>
        </w:rPr>
        <w:t xml:space="preserve">b) </w:t>
      </w:r>
      <w:r w:rsidRPr="002817A4">
        <w:rPr>
          <w:rFonts w:ascii="Arial" w:hAnsi="Arial" w:cs="Arial"/>
          <w:b/>
        </w:rPr>
        <w:t xml:space="preserve">Forma. </w:t>
      </w:r>
      <w:r w:rsidRPr="002817A4">
        <w:rPr>
          <w:rFonts w:ascii="Arial" w:hAnsi="Arial" w:cs="Arial"/>
        </w:rPr>
        <w:t xml:space="preserve">La demanda se presentó ante la autoridad señalada como responsable, en ella se precisa la asociación actora, el nombre y la firma de quien promueve en su representación, la resolución que se controvierte, se mencionan los hechos, agravios y las disposiciones presuntamente </w:t>
      </w:r>
      <w:r w:rsidR="002817A4">
        <w:rPr>
          <w:rFonts w:ascii="Arial" w:hAnsi="Arial" w:cs="Arial"/>
        </w:rPr>
        <w:t>violadas</w:t>
      </w:r>
      <w:r w:rsidRPr="002817A4">
        <w:rPr>
          <w:rFonts w:ascii="Arial" w:hAnsi="Arial" w:cs="Arial"/>
        </w:rPr>
        <w:t>.</w:t>
      </w:r>
    </w:p>
    <w:p w:rsidR="00C23A3E" w:rsidRPr="00C23A3E" w:rsidRDefault="00C23A3E" w:rsidP="007D1D62">
      <w:pPr>
        <w:spacing w:before="100" w:beforeAutospacing="1" w:after="100" w:afterAutospacing="1" w:line="336" w:lineRule="auto"/>
        <w:jc w:val="both"/>
        <w:rPr>
          <w:rFonts w:ascii="Arial" w:eastAsia="Calibri" w:hAnsi="Arial" w:cs="Arial"/>
          <w:bCs/>
          <w:lang w:eastAsia="en-US"/>
        </w:rPr>
      </w:pPr>
      <w:r w:rsidRPr="00C23A3E">
        <w:rPr>
          <w:rFonts w:ascii="Arial" w:eastAsia="Calibri" w:hAnsi="Arial" w:cs="Arial"/>
          <w:b/>
          <w:bCs/>
          <w:lang w:eastAsia="en-US"/>
        </w:rPr>
        <w:t>c) Legitimación y personería.</w:t>
      </w:r>
      <w:r w:rsidRPr="00C23A3E">
        <w:rPr>
          <w:rFonts w:ascii="Arial" w:eastAsia="Calibri" w:hAnsi="Arial" w:cs="Arial"/>
          <w:bCs/>
          <w:lang w:eastAsia="en-US"/>
        </w:rPr>
        <w:t xml:space="preserve"> Se satisface este elemento, porque el juicio se promovió por la </w:t>
      </w:r>
      <w:r>
        <w:rPr>
          <w:rFonts w:ascii="Arial" w:eastAsia="Calibri" w:hAnsi="Arial" w:cs="Arial"/>
          <w:bCs/>
          <w:lang w:eastAsia="en-US"/>
        </w:rPr>
        <w:t>Organización Humanistas Renovados por Querétaro, A.C.</w:t>
      </w:r>
      <w:r w:rsidRPr="00C23A3E">
        <w:rPr>
          <w:rFonts w:ascii="Arial" w:eastAsia="Calibri" w:hAnsi="Arial" w:cs="Arial"/>
          <w:bCs/>
          <w:lang w:eastAsia="en-US"/>
        </w:rPr>
        <w:t xml:space="preserve">, a través de </w:t>
      </w:r>
      <w:r>
        <w:rPr>
          <w:rFonts w:ascii="Arial" w:eastAsia="Calibri" w:hAnsi="Arial" w:cs="Arial"/>
          <w:bCs/>
          <w:lang w:eastAsia="en-US"/>
        </w:rPr>
        <w:t>Julio César Rebollo Hernández</w:t>
      </w:r>
      <w:r w:rsidRPr="00C23A3E">
        <w:rPr>
          <w:rFonts w:ascii="Arial" w:eastAsia="Calibri" w:hAnsi="Arial" w:cs="Arial"/>
          <w:bCs/>
          <w:lang w:eastAsia="en-US"/>
        </w:rPr>
        <w:t xml:space="preserve">, en su carácter de representante legal de la misma, para combatir una sentencia del Tribunal Electoral del Estado de </w:t>
      </w:r>
      <w:r>
        <w:rPr>
          <w:rFonts w:ascii="Arial" w:eastAsia="Calibri" w:hAnsi="Arial" w:cs="Arial"/>
          <w:bCs/>
          <w:lang w:eastAsia="en-US"/>
        </w:rPr>
        <w:t>Querétaro</w:t>
      </w:r>
      <w:r w:rsidRPr="00C23A3E">
        <w:rPr>
          <w:rFonts w:ascii="Arial" w:eastAsia="Calibri" w:hAnsi="Arial" w:cs="Arial"/>
          <w:bCs/>
          <w:lang w:eastAsia="en-US"/>
        </w:rPr>
        <w:t xml:space="preserve">, al estimar que transgrede su esfera jurídica. </w:t>
      </w:r>
    </w:p>
    <w:p w:rsidR="00C23A3E" w:rsidRPr="00C23A3E" w:rsidRDefault="00C23A3E" w:rsidP="007D1D62">
      <w:pPr>
        <w:spacing w:before="100" w:beforeAutospacing="1" w:after="100" w:afterAutospacing="1" w:line="336" w:lineRule="auto"/>
        <w:jc w:val="both"/>
        <w:rPr>
          <w:rFonts w:ascii="Arial" w:eastAsia="Calibri" w:hAnsi="Arial" w:cs="Arial"/>
          <w:lang w:val="es-MX" w:eastAsia="en-US"/>
        </w:rPr>
      </w:pPr>
      <w:r w:rsidRPr="00C23A3E">
        <w:rPr>
          <w:rFonts w:ascii="Arial" w:eastAsia="Calibri" w:hAnsi="Arial" w:cs="Arial"/>
          <w:bCs/>
          <w:lang w:eastAsia="en-US"/>
        </w:rPr>
        <w:lastRenderedPageBreak/>
        <w:t>Por otra parte, la personería del representante de la actora se encuentra reconocida por la responsable en su informe circunstanciado.</w:t>
      </w:r>
      <w:r>
        <w:rPr>
          <w:rStyle w:val="Refdenotaalpie"/>
          <w:rFonts w:ascii="Arial" w:eastAsia="Calibri" w:hAnsi="Arial" w:cs="Arial"/>
          <w:bCs/>
          <w:lang w:eastAsia="en-US"/>
        </w:rPr>
        <w:footnoteReference w:id="3"/>
      </w:r>
    </w:p>
    <w:p w:rsidR="00C23A3E" w:rsidRPr="00C23A3E" w:rsidRDefault="00C23A3E" w:rsidP="007D1D62">
      <w:pPr>
        <w:spacing w:before="100" w:beforeAutospacing="1" w:after="100" w:afterAutospacing="1" w:line="336" w:lineRule="auto"/>
        <w:jc w:val="both"/>
        <w:rPr>
          <w:rFonts w:ascii="Arial" w:eastAsia="Calibri" w:hAnsi="Arial" w:cs="Arial"/>
          <w:lang w:val="es-MX" w:eastAsia="en-US"/>
        </w:rPr>
      </w:pPr>
      <w:r w:rsidRPr="00C23A3E">
        <w:rPr>
          <w:rFonts w:ascii="Arial" w:eastAsia="Calibri" w:hAnsi="Arial" w:cs="Arial"/>
          <w:b/>
          <w:bCs/>
          <w:lang w:eastAsia="en-US"/>
        </w:rPr>
        <w:t xml:space="preserve">d) Interés jurídico. </w:t>
      </w:r>
      <w:r w:rsidRPr="00C23A3E">
        <w:rPr>
          <w:rFonts w:ascii="Arial" w:eastAsia="Calibri" w:hAnsi="Arial" w:cs="Arial"/>
          <w:bCs/>
          <w:lang w:eastAsia="en-US"/>
        </w:rPr>
        <w:t>Se cumple con esta exigencia, en virtud de que se controvierte una sentencia dictada por la autoridad jurisdiccional electoral de la entidad</w:t>
      </w:r>
      <w:r w:rsidRPr="00C23A3E">
        <w:rPr>
          <w:rFonts w:ascii="Arial" w:eastAsia="Calibri" w:hAnsi="Arial" w:cs="Arial"/>
          <w:lang w:val="es-MX" w:eastAsia="en-US"/>
        </w:rPr>
        <w:t xml:space="preserve">, en la que la actora pretendía </w:t>
      </w:r>
      <w:r>
        <w:rPr>
          <w:rFonts w:ascii="Arial" w:eastAsia="Calibri" w:hAnsi="Arial" w:cs="Arial"/>
          <w:lang w:val="es-MX" w:eastAsia="en-US"/>
        </w:rPr>
        <w:t>constituirse como partido político</w:t>
      </w:r>
      <w:r w:rsidRPr="00C23A3E">
        <w:rPr>
          <w:rFonts w:ascii="Arial" w:eastAsia="Calibri" w:hAnsi="Arial" w:cs="Arial"/>
          <w:lang w:val="es-MX" w:eastAsia="en-US"/>
        </w:rPr>
        <w:t xml:space="preserve">; en ese sentido, dado que la resolución confirma </w:t>
      </w:r>
      <w:r>
        <w:rPr>
          <w:rFonts w:ascii="Arial" w:eastAsia="Calibri" w:hAnsi="Arial" w:cs="Arial"/>
          <w:lang w:val="es-MX" w:eastAsia="en-US"/>
        </w:rPr>
        <w:t>el acuerdo impugnado que le negó tal derecho,</w:t>
      </w:r>
      <w:r w:rsidRPr="00C23A3E">
        <w:rPr>
          <w:rFonts w:ascii="Arial" w:eastAsia="Calibri" w:hAnsi="Arial" w:cs="Arial"/>
          <w:lang w:val="es-MX" w:eastAsia="en-US"/>
        </w:rPr>
        <w:t xml:space="preserve"> la misma resulta contraria a sus intereses. </w:t>
      </w:r>
    </w:p>
    <w:p w:rsidR="00C23A3E" w:rsidRPr="00C23A3E" w:rsidRDefault="00C23A3E" w:rsidP="007D1D62">
      <w:pPr>
        <w:spacing w:before="100" w:beforeAutospacing="1" w:after="100" w:afterAutospacing="1" w:line="336" w:lineRule="auto"/>
        <w:jc w:val="both"/>
        <w:rPr>
          <w:rFonts w:ascii="Arial" w:hAnsi="Arial" w:cs="Arial"/>
          <w:lang w:val="es-MX"/>
        </w:rPr>
      </w:pPr>
      <w:r w:rsidRPr="00C23A3E">
        <w:rPr>
          <w:rFonts w:ascii="Arial" w:eastAsia="Calibri" w:hAnsi="Arial" w:cs="Arial"/>
          <w:b/>
          <w:lang w:val="es-MX" w:eastAsia="en-US"/>
        </w:rPr>
        <w:t xml:space="preserve">e) </w:t>
      </w:r>
      <w:proofErr w:type="spellStart"/>
      <w:r w:rsidRPr="00C23A3E">
        <w:rPr>
          <w:rFonts w:ascii="Arial" w:eastAsia="Calibri" w:hAnsi="Arial" w:cs="Arial"/>
          <w:b/>
          <w:bCs/>
          <w:lang w:val="es-MX" w:eastAsia="en-US"/>
        </w:rPr>
        <w:t>Definitividad</w:t>
      </w:r>
      <w:proofErr w:type="spellEnd"/>
      <w:r w:rsidRPr="00C23A3E">
        <w:rPr>
          <w:rFonts w:ascii="Arial" w:eastAsia="Calibri" w:hAnsi="Arial" w:cs="Arial"/>
          <w:b/>
          <w:bCs/>
          <w:lang w:val="es-MX" w:eastAsia="en-US"/>
        </w:rPr>
        <w:t>.</w:t>
      </w:r>
      <w:r w:rsidRPr="00C23A3E">
        <w:rPr>
          <w:rFonts w:ascii="Arial" w:eastAsia="Calibri" w:hAnsi="Arial" w:cs="Arial"/>
          <w:lang w:val="es-MX" w:eastAsia="en-US"/>
        </w:rPr>
        <w:t xml:space="preserve"> Se satisface esta exigencia, pues en la legislación local no existe medio de defensa por el que se pueda combatir la resolución impugnada.</w:t>
      </w:r>
    </w:p>
    <w:p w:rsidR="001B303D" w:rsidRPr="002817A4" w:rsidRDefault="00C23A3E" w:rsidP="007D1D62">
      <w:pPr>
        <w:spacing w:before="100" w:beforeAutospacing="1" w:after="100" w:afterAutospacing="1" w:line="336" w:lineRule="auto"/>
        <w:jc w:val="both"/>
        <w:rPr>
          <w:rFonts w:ascii="Arial" w:hAnsi="Arial" w:cs="Arial"/>
          <w:b/>
        </w:rPr>
      </w:pPr>
      <w:r>
        <w:rPr>
          <w:rFonts w:ascii="Arial" w:hAnsi="Arial" w:cs="Arial"/>
          <w:b/>
        </w:rPr>
        <w:t>I</w:t>
      </w:r>
      <w:r w:rsidR="00A14B79" w:rsidRPr="002817A4">
        <w:rPr>
          <w:rFonts w:ascii="Arial" w:hAnsi="Arial" w:cs="Arial"/>
          <w:b/>
        </w:rPr>
        <w:t>I.</w:t>
      </w:r>
      <w:r w:rsidR="00A14B79" w:rsidRPr="002817A4">
        <w:rPr>
          <w:rFonts w:ascii="Arial" w:hAnsi="Arial" w:cs="Arial"/>
          <w:b/>
          <w:bCs/>
        </w:rPr>
        <w:t xml:space="preserve"> Pruebas. </w:t>
      </w:r>
      <w:r w:rsidR="00A14B79" w:rsidRPr="002817A4">
        <w:rPr>
          <w:rFonts w:ascii="Arial" w:hAnsi="Arial" w:cs="Arial"/>
          <w:bCs/>
        </w:rPr>
        <w:t>Se admiten las documentales ofrecidas</w:t>
      </w:r>
      <w:r w:rsidR="00474BF4" w:rsidRPr="002817A4">
        <w:rPr>
          <w:rFonts w:ascii="Arial" w:hAnsi="Arial" w:cs="Arial"/>
          <w:bCs/>
        </w:rPr>
        <w:t xml:space="preserve"> en la demanda</w:t>
      </w:r>
      <w:r w:rsidR="00F71D1C" w:rsidRPr="002817A4">
        <w:rPr>
          <w:rFonts w:ascii="Arial" w:hAnsi="Arial" w:cs="Arial"/>
          <w:bCs/>
        </w:rPr>
        <w:t>, las cuales se tienen por desahogadas atendiendo a su propia y especial naturaleza</w:t>
      </w:r>
      <w:r w:rsidR="00A83F72" w:rsidRPr="002817A4">
        <w:rPr>
          <w:rFonts w:ascii="Arial" w:hAnsi="Arial" w:cs="Arial"/>
          <w:bCs/>
        </w:rPr>
        <w:t>.</w:t>
      </w:r>
    </w:p>
    <w:p w:rsidR="00A14B79" w:rsidRPr="002817A4" w:rsidRDefault="00A14B79" w:rsidP="007D1D62">
      <w:pPr>
        <w:spacing w:before="100" w:beforeAutospacing="1" w:after="100" w:afterAutospacing="1" w:line="336" w:lineRule="auto"/>
        <w:jc w:val="both"/>
        <w:rPr>
          <w:rFonts w:ascii="Arial" w:hAnsi="Arial" w:cs="Arial"/>
          <w:b/>
        </w:rPr>
      </w:pPr>
      <w:r w:rsidRPr="002817A4">
        <w:rPr>
          <w:rFonts w:ascii="Arial" w:hAnsi="Arial" w:cs="Arial"/>
          <w:b/>
        </w:rPr>
        <w:t>NOTIFÍQUESE.</w:t>
      </w:r>
    </w:p>
    <w:p w:rsidR="00A14B79" w:rsidRPr="002817A4" w:rsidRDefault="00A14B79" w:rsidP="007D1D62">
      <w:pPr>
        <w:spacing w:before="100" w:beforeAutospacing="1" w:after="100" w:afterAutospacing="1" w:line="336" w:lineRule="auto"/>
        <w:jc w:val="both"/>
        <w:rPr>
          <w:rFonts w:ascii="Arial" w:hAnsi="Arial" w:cs="Arial"/>
        </w:rPr>
      </w:pPr>
      <w:r w:rsidRPr="002817A4">
        <w:rPr>
          <w:rFonts w:ascii="Arial" w:hAnsi="Arial" w:cs="Arial"/>
        </w:rPr>
        <w:t xml:space="preserve">Así lo acordó y firma </w:t>
      </w:r>
      <w:r w:rsidR="00A419AA">
        <w:rPr>
          <w:rFonts w:ascii="Arial" w:hAnsi="Arial" w:cs="Arial"/>
        </w:rPr>
        <w:t>el M</w:t>
      </w:r>
      <w:r w:rsidRPr="002817A4">
        <w:rPr>
          <w:rFonts w:ascii="Arial" w:hAnsi="Arial" w:cs="Arial"/>
        </w:rPr>
        <w:t>agistrad</w:t>
      </w:r>
      <w:r w:rsidR="00A419AA">
        <w:rPr>
          <w:rFonts w:ascii="Arial" w:hAnsi="Arial" w:cs="Arial"/>
        </w:rPr>
        <w:t>o</w:t>
      </w:r>
      <w:r w:rsidRPr="002817A4">
        <w:rPr>
          <w:rFonts w:ascii="Arial" w:hAnsi="Arial" w:cs="Arial"/>
        </w:rPr>
        <w:t xml:space="preserve"> instructor de la Sala Regional del Tribunal Electoral del Poder Judicial de la Federación, correspondiente a la Segunda Circunscripción Electoral Plurinominal, en presencia del Secretari</w:t>
      </w:r>
      <w:r w:rsidR="00A419AA">
        <w:rPr>
          <w:rFonts w:ascii="Arial" w:hAnsi="Arial" w:cs="Arial"/>
        </w:rPr>
        <w:t>o</w:t>
      </w:r>
      <w:r w:rsidRPr="002817A4">
        <w:rPr>
          <w:rFonts w:ascii="Arial" w:hAnsi="Arial" w:cs="Arial"/>
        </w:rPr>
        <w:t xml:space="preserve"> de Estudio y Cuenta que da fe.</w:t>
      </w:r>
    </w:p>
    <w:p w:rsidR="00A14B79" w:rsidRPr="009C258B" w:rsidRDefault="00A14B79" w:rsidP="00A14B79">
      <w:pPr>
        <w:spacing w:line="360" w:lineRule="auto"/>
        <w:jc w:val="both"/>
        <w:rPr>
          <w:rFonts w:ascii="Arial" w:hAnsi="Arial" w:cs="Arial"/>
          <w:sz w:val="22"/>
          <w:szCs w:val="22"/>
        </w:rPr>
      </w:pPr>
    </w:p>
    <w:tbl>
      <w:tblPr>
        <w:tblW w:w="9181" w:type="dxa"/>
        <w:tblInd w:w="-284" w:type="dxa"/>
        <w:tblLook w:val="01E0" w:firstRow="1" w:lastRow="1" w:firstColumn="1" w:lastColumn="1" w:noHBand="0" w:noVBand="0"/>
      </w:tblPr>
      <w:tblGrid>
        <w:gridCol w:w="3970"/>
        <w:gridCol w:w="5211"/>
      </w:tblGrid>
      <w:tr w:rsidR="00A14B79" w:rsidRPr="009C258B" w:rsidTr="00F62261">
        <w:trPr>
          <w:trHeight w:val="1120"/>
        </w:trPr>
        <w:tc>
          <w:tcPr>
            <w:tcW w:w="3970" w:type="dxa"/>
          </w:tcPr>
          <w:p w:rsidR="00A14B79" w:rsidRDefault="00A14B79" w:rsidP="00947AFD">
            <w:pPr>
              <w:jc w:val="center"/>
              <w:rPr>
                <w:rFonts w:ascii="Arial" w:hAnsi="Arial" w:cs="Arial"/>
                <w:b/>
                <w:sz w:val="22"/>
                <w:szCs w:val="22"/>
              </w:rPr>
            </w:pPr>
          </w:p>
          <w:p w:rsidR="0025495D" w:rsidRDefault="0025495D" w:rsidP="00947AFD">
            <w:pPr>
              <w:jc w:val="center"/>
              <w:rPr>
                <w:rFonts w:ascii="Arial" w:hAnsi="Arial" w:cs="Arial"/>
                <w:b/>
                <w:sz w:val="22"/>
                <w:szCs w:val="22"/>
              </w:rPr>
            </w:pPr>
          </w:p>
          <w:p w:rsidR="0025495D" w:rsidRPr="009C258B" w:rsidRDefault="0025495D" w:rsidP="00947AFD">
            <w:pPr>
              <w:jc w:val="center"/>
              <w:rPr>
                <w:rFonts w:ascii="Arial" w:hAnsi="Arial" w:cs="Arial"/>
                <w:b/>
                <w:sz w:val="22"/>
                <w:szCs w:val="22"/>
              </w:rPr>
            </w:pPr>
          </w:p>
          <w:p w:rsidR="00A14B79" w:rsidRPr="009C258B" w:rsidRDefault="00A14B79" w:rsidP="00947AFD">
            <w:pPr>
              <w:jc w:val="center"/>
              <w:rPr>
                <w:rFonts w:ascii="Arial" w:hAnsi="Arial" w:cs="Arial"/>
                <w:b/>
                <w:sz w:val="22"/>
                <w:szCs w:val="22"/>
              </w:rPr>
            </w:pPr>
          </w:p>
          <w:p w:rsidR="00A14B79" w:rsidRPr="009C258B" w:rsidRDefault="00A14B79" w:rsidP="00947AFD">
            <w:pPr>
              <w:jc w:val="center"/>
              <w:rPr>
                <w:rFonts w:ascii="Arial" w:hAnsi="Arial" w:cs="Arial"/>
                <w:b/>
                <w:sz w:val="22"/>
                <w:szCs w:val="22"/>
              </w:rPr>
            </w:pPr>
          </w:p>
          <w:p w:rsidR="00A14B79" w:rsidRPr="009C258B" w:rsidRDefault="00A419AA" w:rsidP="00947AFD">
            <w:pPr>
              <w:jc w:val="center"/>
              <w:rPr>
                <w:rFonts w:ascii="Arial" w:hAnsi="Arial" w:cs="Arial"/>
                <w:b/>
                <w:sz w:val="22"/>
                <w:szCs w:val="22"/>
              </w:rPr>
            </w:pPr>
            <w:r>
              <w:rPr>
                <w:rFonts w:ascii="Arial" w:hAnsi="Arial" w:cs="Arial"/>
                <w:b/>
                <w:sz w:val="22"/>
                <w:szCs w:val="22"/>
              </w:rPr>
              <w:t>YAIRSINIO DAVID GARCÍA ORTIZ</w:t>
            </w:r>
          </w:p>
          <w:p w:rsidR="00A14B79" w:rsidRPr="009C258B" w:rsidRDefault="00A419AA" w:rsidP="00947AFD">
            <w:pPr>
              <w:jc w:val="center"/>
              <w:rPr>
                <w:rFonts w:ascii="Arial" w:hAnsi="Arial" w:cs="Arial"/>
                <w:b/>
                <w:sz w:val="22"/>
                <w:szCs w:val="22"/>
              </w:rPr>
            </w:pPr>
            <w:r>
              <w:rPr>
                <w:rFonts w:ascii="Arial" w:hAnsi="Arial" w:cs="Arial"/>
                <w:b/>
                <w:sz w:val="22"/>
                <w:szCs w:val="22"/>
              </w:rPr>
              <w:t>MAGISTRADO</w:t>
            </w:r>
          </w:p>
        </w:tc>
        <w:tc>
          <w:tcPr>
            <w:tcW w:w="5211" w:type="dxa"/>
          </w:tcPr>
          <w:p w:rsidR="00A14B79" w:rsidRPr="009C258B" w:rsidRDefault="00A14B79" w:rsidP="00947AFD">
            <w:pPr>
              <w:jc w:val="center"/>
              <w:rPr>
                <w:rFonts w:ascii="Arial" w:hAnsi="Arial" w:cs="Arial"/>
                <w:b/>
                <w:sz w:val="22"/>
                <w:szCs w:val="22"/>
              </w:rPr>
            </w:pPr>
          </w:p>
          <w:p w:rsidR="00A14B79" w:rsidRDefault="00A14B79" w:rsidP="00947AFD">
            <w:pPr>
              <w:jc w:val="center"/>
              <w:rPr>
                <w:rFonts w:ascii="Arial" w:hAnsi="Arial" w:cs="Arial"/>
                <w:b/>
                <w:sz w:val="22"/>
                <w:szCs w:val="22"/>
              </w:rPr>
            </w:pPr>
          </w:p>
          <w:p w:rsidR="0025495D" w:rsidRPr="009C258B" w:rsidRDefault="0025495D" w:rsidP="00947AFD">
            <w:pPr>
              <w:jc w:val="center"/>
              <w:rPr>
                <w:rFonts w:ascii="Arial" w:hAnsi="Arial" w:cs="Arial"/>
                <w:b/>
                <w:sz w:val="22"/>
                <w:szCs w:val="22"/>
              </w:rPr>
            </w:pPr>
          </w:p>
          <w:p w:rsidR="00A14B79" w:rsidRDefault="00A14B79" w:rsidP="00947AFD">
            <w:pPr>
              <w:jc w:val="center"/>
              <w:rPr>
                <w:rFonts w:ascii="Arial" w:hAnsi="Arial" w:cs="Arial"/>
                <w:b/>
                <w:sz w:val="22"/>
                <w:szCs w:val="22"/>
              </w:rPr>
            </w:pPr>
          </w:p>
          <w:p w:rsidR="0025495D" w:rsidRPr="009C258B" w:rsidRDefault="0025495D" w:rsidP="00947AFD">
            <w:pPr>
              <w:jc w:val="center"/>
              <w:rPr>
                <w:rFonts w:ascii="Arial" w:hAnsi="Arial" w:cs="Arial"/>
                <w:b/>
                <w:sz w:val="22"/>
                <w:szCs w:val="22"/>
              </w:rPr>
            </w:pPr>
            <w:bookmarkStart w:id="0" w:name="_GoBack"/>
            <w:bookmarkEnd w:id="0"/>
          </w:p>
          <w:p w:rsidR="00A14B79" w:rsidRPr="009C258B" w:rsidRDefault="00A419AA" w:rsidP="00947AFD">
            <w:pPr>
              <w:jc w:val="center"/>
              <w:rPr>
                <w:rFonts w:ascii="Arial" w:hAnsi="Arial" w:cs="Arial"/>
                <w:b/>
                <w:spacing w:val="-10"/>
                <w:sz w:val="22"/>
                <w:szCs w:val="22"/>
              </w:rPr>
            </w:pPr>
            <w:r>
              <w:rPr>
                <w:rFonts w:ascii="Arial" w:hAnsi="Arial" w:cs="Arial"/>
                <w:b/>
                <w:spacing w:val="-10"/>
                <w:sz w:val="22"/>
                <w:szCs w:val="22"/>
              </w:rPr>
              <w:t>VÍCTOR MONTOYA AYALA</w:t>
            </w:r>
          </w:p>
          <w:p w:rsidR="00A14B79" w:rsidRPr="009C258B" w:rsidRDefault="00A419AA" w:rsidP="00947AFD">
            <w:pPr>
              <w:jc w:val="center"/>
              <w:rPr>
                <w:rFonts w:ascii="Arial" w:hAnsi="Arial" w:cs="Arial"/>
                <w:b/>
                <w:sz w:val="22"/>
                <w:szCs w:val="22"/>
              </w:rPr>
            </w:pPr>
            <w:r>
              <w:rPr>
                <w:rFonts w:ascii="Arial" w:hAnsi="Arial" w:cs="Arial"/>
                <w:b/>
                <w:sz w:val="22"/>
                <w:szCs w:val="22"/>
              </w:rPr>
              <w:t>SECRETARIO</w:t>
            </w:r>
          </w:p>
        </w:tc>
      </w:tr>
    </w:tbl>
    <w:p w:rsidR="00A14B79" w:rsidRPr="009C258B" w:rsidRDefault="00A14B79" w:rsidP="002F2397">
      <w:pPr>
        <w:spacing w:line="360" w:lineRule="auto"/>
        <w:jc w:val="right"/>
        <w:rPr>
          <w:rFonts w:ascii="Arial" w:hAnsi="Arial" w:cs="Arial"/>
          <w:sz w:val="22"/>
          <w:szCs w:val="22"/>
          <w:lang w:val="es-ES"/>
        </w:rPr>
      </w:pPr>
    </w:p>
    <w:sectPr w:rsidR="00A14B79" w:rsidRPr="009C258B" w:rsidSect="001516B5">
      <w:headerReference w:type="even" r:id="rId9"/>
      <w:headerReference w:type="default" r:id="rId10"/>
      <w:footerReference w:type="default" r:id="rId11"/>
      <w:headerReference w:type="first" r:id="rId12"/>
      <w:pgSz w:w="12242" w:h="19295" w:code="135"/>
      <w:pgMar w:top="1134" w:right="1134" w:bottom="1134" w:left="3119" w:header="851" w:footer="85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B79" w:rsidRDefault="00A14B79" w:rsidP="00A14B79">
      <w:r>
        <w:separator/>
      </w:r>
    </w:p>
  </w:endnote>
  <w:endnote w:type="continuationSeparator" w:id="0">
    <w:p w:rsidR="00A14B79" w:rsidRDefault="00A14B79" w:rsidP="00A14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Univers">
    <w:altName w:val="Arial"/>
    <w:panose1 w:val="020B0603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1BB" w:rsidRDefault="0095568E" w:rsidP="0086663C">
    <w:pPr>
      <w:pStyle w:val="Piedepgina"/>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B79" w:rsidRDefault="00A14B79" w:rsidP="00A14B79">
      <w:r>
        <w:separator/>
      </w:r>
    </w:p>
  </w:footnote>
  <w:footnote w:type="continuationSeparator" w:id="0">
    <w:p w:rsidR="00A14B79" w:rsidRDefault="00A14B79" w:rsidP="00A14B79">
      <w:r>
        <w:continuationSeparator/>
      </w:r>
    </w:p>
  </w:footnote>
  <w:footnote w:id="1">
    <w:p w:rsidR="00A14B79" w:rsidRPr="000C4D90" w:rsidRDefault="00A14B79" w:rsidP="000C4D90">
      <w:pPr>
        <w:pStyle w:val="Textonotapie"/>
        <w:jc w:val="both"/>
        <w:rPr>
          <w:rFonts w:ascii="Arial" w:hAnsi="Arial" w:cs="Arial"/>
          <w:lang w:val="es-MX"/>
        </w:rPr>
      </w:pPr>
      <w:r w:rsidRPr="000C4D90">
        <w:rPr>
          <w:rStyle w:val="Refdenotaalpie"/>
          <w:rFonts w:ascii="Arial" w:hAnsi="Arial" w:cs="Arial"/>
        </w:rPr>
        <w:footnoteRef/>
      </w:r>
      <w:r w:rsidRPr="000C4D90">
        <w:rPr>
          <w:rFonts w:ascii="Arial" w:hAnsi="Arial" w:cs="Arial"/>
        </w:rPr>
        <w:t xml:space="preserve"> </w:t>
      </w:r>
      <w:r w:rsidRPr="000C4D90">
        <w:rPr>
          <w:rFonts w:ascii="Arial" w:hAnsi="Arial" w:cs="Arial"/>
          <w:lang w:val="es-MX"/>
        </w:rPr>
        <w:t xml:space="preserve">Según se advierte de la constancia de notificación visible a foja </w:t>
      </w:r>
      <w:r w:rsidR="002817A4" w:rsidRPr="000C4D90">
        <w:rPr>
          <w:rFonts w:ascii="Arial" w:hAnsi="Arial" w:cs="Arial"/>
          <w:lang w:val="es-MX"/>
        </w:rPr>
        <w:t>131 del cuaderno accesorio</w:t>
      </w:r>
      <w:r w:rsidRPr="000C4D90">
        <w:rPr>
          <w:rFonts w:ascii="Arial" w:hAnsi="Arial" w:cs="Arial"/>
          <w:lang w:val="es-MX"/>
        </w:rPr>
        <w:t>.</w:t>
      </w:r>
    </w:p>
  </w:footnote>
  <w:footnote w:id="2">
    <w:p w:rsidR="000C4D90" w:rsidRPr="000C4D90" w:rsidRDefault="000C4D90" w:rsidP="000C4D90">
      <w:pPr>
        <w:pStyle w:val="Textonotapie"/>
        <w:jc w:val="both"/>
        <w:rPr>
          <w:lang w:val="es-MX"/>
        </w:rPr>
      </w:pPr>
      <w:r w:rsidRPr="000C4D90">
        <w:rPr>
          <w:rStyle w:val="Refdenotaalpie"/>
          <w:rFonts w:ascii="Arial" w:hAnsi="Arial" w:cs="Arial"/>
        </w:rPr>
        <w:footnoteRef/>
      </w:r>
      <w:r w:rsidRPr="000C4D90">
        <w:rPr>
          <w:rFonts w:ascii="Arial" w:hAnsi="Arial" w:cs="Arial"/>
        </w:rPr>
        <w:t xml:space="preserve"> Lo anterior, al</w:t>
      </w:r>
      <w:r w:rsidRPr="000C4D90">
        <w:rPr>
          <w:rFonts w:ascii="Arial" w:eastAsia="Calibri" w:hAnsi="Arial" w:cs="Arial"/>
          <w:lang w:val="es-MX" w:eastAsia="es-MX"/>
        </w:rPr>
        <w:t xml:space="preserve"> considerarse inhábiles al tenor de lo dispuesto en el artículo 7, párrafo 2, de la Ley General del Sistema de Medios de Impugnación en Materia Electoral</w:t>
      </w:r>
      <w:r w:rsidR="0025495D">
        <w:rPr>
          <w:rFonts w:ascii="Arial" w:eastAsia="Calibri" w:hAnsi="Arial" w:cs="Arial"/>
          <w:lang w:val="es-MX" w:eastAsia="es-MX"/>
        </w:rPr>
        <w:t>, e</w:t>
      </w:r>
      <w:r w:rsidRPr="000C4D90">
        <w:rPr>
          <w:rFonts w:ascii="Arial" w:eastAsia="Calibri" w:hAnsi="Arial" w:cs="Arial"/>
          <w:lang w:val="es-MX" w:eastAsia="en-US"/>
        </w:rPr>
        <w:t>n virtud de que el acto reclamado no está vinculado a un proceso electoral que se desarrolle actualmente en el Estado de Querétaro</w:t>
      </w:r>
      <w:r>
        <w:rPr>
          <w:rFonts w:ascii="Arial" w:eastAsia="Calibri" w:hAnsi="Arial" w:cs="Arial"/>
          <w:lang w:val="es-MX" w:eastAsia="en-US"/>
        </w:rPr>
        <w:t>.</w:t>
      </w:r>
    </w:p>
  </w:footnote>
  <w:footnote w:id="3">
    <w:p w:rsidR="00C23A3E" w:rsidRPr="00C23A3E" w:rsidRDefault="00C23A3E" w:rsidP="00C23A3E">
      <w:pPr>
        <w:pStyle w:val="Textonotapie"/>
        <w:jc w:val="both"/>
        <w:rPr>
          <w:rFonts w:ascii="Arial" w:hAnsi="Arial" w:cs="Arial"/>
          <w:lang w:val="es-MX"/>
        </w:rPr>
      </w:pPr>
      <w:r w:rsidRPr="00C23A3E">
        <w:rPr>
          <w:rStyle w:val="Refdenotaalpie"/>
          <w:rFonts w:ascii="Arial" w:hAnsi="Arial" w:cs="Arial"/>
        </w:rPr>
        <w:footnoteRef/>
      </w:r>
      <w:r w:rsidRPr="00C23A3E">
        <w:rPr>
          <w:rFonts w:ascii="Arial" w:hAnsi="Arial" w:cs="Arial"/>
        </w:rPr>
        <w:t xml:space="preserve"> </w:t>
      </w:r>
      <w:r w:rsidRPr="00C23A3E">
        <w:rPr>
          <w:rFonts w:ascii="Arial" w:hAnsi="Arial" w:cs="Arial"/>
          <w:lang w:val="es-MX"/>
        </w:rPr>
        <w:t>Véase foja 96 del expediente principal.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1BB" w:rsidRPr="00E8635C" w:rsidRDefault="003F1E64" w:rsidP="0086663C">
    <w:pPr>
      <w:pStyle w:val="Encabezado"/>
      <w:spacing w:after="240"/>
      <w:rPr>
        <w:sz w:val="20"/>
        <w:szCs w:val="20"/>
      </w:rPr>
    </w:pPr>
    <w:r w:rsidRPr="00FD6ECF">
      <w:rPr>
        <w:noProof/>
        <w:lang w:val="es-MX" w:eastAsia="es-MX"/>
      </w:rPr>
      <mc:AlternateContent>
        <mc:Choice Requires="wps">
          <w:drawing>
            <wp:anchor distT="0" distB="0" distL="114300" distR="114300" simplePos="0" relativeHeight="251662336" behindDoc="0" locked="0" layoutInCell="0" allowOverlap="1" wp14:anchorId="4DD3BEF3" wp14:editId="4F514339">
              <wp:simplePos x="0" y="0"/>
              <wp:positionH relativeFrom="page">
                <wp:posOffset>-56515</wp:posOffset>
              </wp:positionH>
              <wp:positionV relativeFrom="page">
                <wp:posOffset>5673090</wp:posOffset>
              </wp:positionV>
              <wp:extent cx="762000" cy="895350"/>
              <wp:effectExtent l="0" t="0" r="0" b="0"/>
              <wp:wrapNone/>
              <wp:docPr id="558" name="Rectángulo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6641BB" w:rsidRPr="009047AA" w:rsidRDefault="003F1E64">
                          <w:pPr>
                            <w:jc w:val="center"/>
                            <w:rPr>
                              <w:rFonts w:ascii="Cambria" w:hAnsi="Cambria"/>
                              <w:sz w:val="48"/>
                              <w:szCs w:val="48"/>
                            </w:rPr>
                          </w:pPr>
                          <w:r w:rsidRPr="009047AA">
                            <w:rPr>
                              <w:rFonts w:ascii="Calibri" w:hAnsi="Calibri"/>
                              <w:sz w:val="22"/>
                              <w:szCs w:val="22"/>
                            </w:rPr>
                            <w:fldChar w:fldCharType="begin"/>
                          </w:r>
                          <w:r>
                            <w:instrText>PAGE   \* MERGEFORMAT</w:instrText>
                          </w:r>
                          <w:r w:rsidRPr="009047AA">
                            <w:rPr>
                              <w:rFonts w:ascii="Calibri" w:hAnsi="Calibri"/>
                              <w:sz w:val="22"/>
                              <w:szCs w:val="22"/>
                            </w:rPr>
                            <w:fldChar w:fldCharType="separate"/>
                          </w:r>
                          <w:r w:rsidRPr="009B1621">
                            <w:rPr>
                              <w:rFonts w:ascii="Cambria" w:hAnsi="Cambria"/>
                              <w:noProof/>
                              <w:sz w:val="48"/>
                              <w:szCs w:val="48"/>
                              <w:lang w:val="es-ES"/>
                            </w:rPr>
                            <w:t>4</w:t>
                          </w:r>
                          <w:r w:rsidRPr="009047AA">
                            <w:rPr>
                              <w:rFonts w:ascii="Cambria"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5536B2E" id="Rectángulo 558" o:spid="_x0000_s1026" style="position:absolute;margin-left:-4.45pt;margin-top:446.7pt;width:60pt;height:7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" o:allowincell="f" stroked="f">
              <v:textbox>
                <w:txbxContent>
                  <w:p w:rsidR="006641BB" w:rsidRPr="009047AA" w:rsidRDefault="003F1E64">
                    <w:pPr>
                      <w:jc w:val="center"/>
                      <w:rPr>
                        <w:rFonts w:ascii="Cambria" w:hAnsi="Cambria"/>
                        <w:sz w:val="48"/>
                        <w:szCs w:val="48"/>
                      </w:rPr>
                    </w:pPr>
                    <w:r w:rsidRPr="009047AA">
                      <w:rPr>
                        <w:rFonts w:ascii="Calibri" w:hAnsi="Calibri"/>
                        <w:sz w:val="22"/>
                        <w:szCs w:val="22"/>
                      </w:rPr>
                      <w:fldChar w:fldCharType="begin"/>
                    </w:r>
                    <w:r>
                      <w:instrText>PAGE   \* MERGEFORMAT</w:instrText>
                    </w:r>
                    <w:r w:rsidRPr="009047AA">
                      <w:rPr>
                        <w:rFonts w:ascii="Calibri" w:hAnsi="Calibri"/>
                        <w:sz w:val="22"/>
                        <w:szCs w:val="22"/>
                      </w:rPr>
                      <w:fldChar w:fldCharType="separate"/>
                    </w:r>
                    <w:r w:rsidRPr="009B1621">
                      <w:rPr>
                        <w:rFonts w:ascii="Cambria" w:hAnsi="Cambria"/>
                        <w:noProof/>
                        <w:sz w:val="48"/>
                        <w:szCs w:val="48"/>
                        <w:lang w:val="es-ES"/>
                      </w:rPr>
                      <w:t>4</w:t>
                    </w:r>
                    <w:r w:rsidRPr="009047AA">
                      <w:rPr>
                        <w:rFonts w:ascii="Cambria" w:hAnsi="Cambria"/>
                        <w:sz w:val="48"/>
                        <w:szCs w:val="48"/>
                      </w:rPr>
                      <w:fldChar w:fldCharType="end"/>
                    </w:r>
                  </w:p>
                </w:txbxContent>
              </v:textbox>
              <w10:wrap anchorx="page" anchory="page"/>
            </v:rect>
          </w:pict>
        </mc:Fallback>
      </mc:AlternateContent>
    </w:r>
    <w:r w:rsidRPr="00FD6ECF">
      <w:rPr>
        <w:noProof/>
        <w:lang w:val="es-MX" w:eastAsia="es-MX"/>
      </w:rPr>
      <mc:AlternateContent>
        <mc:Choice Requires="wps">
          <w:drawing>
            <wp:anchor distT="0" distB="0" distL="114300" distR="114300" simplePos="0" relativeHeight="251660288" behindDoc="0" locked="0" layoutInCell="0" allowOverlap="1" wp14:anchorId="7B8CBE77" wp14:editId="6173D67C">
              <wp:simplePos x="0" y="0"/>
              <wp:positionH relativeFrom="page">
                <wp:posOffset>0</wp:posOffset>
              </wp:positionH>
              <wp:positionV relativeFrom="page">
                <wp:posOffset>5640070</wp:posOffset>
              </wp:positionV>
              <wp:extent cx="518795" cy="932815"/>
              <wp:effectExtent l="0" t="0" r="0" b="635"/>
              <wp:wrapNone/>
              <wp:docPr id="544" name="Rectángulo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795" cy="93281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6641BB" w:rsidRPr="009047AA" w:rsidRDefault="003F1E64" w:rsidP="0086663C">
                          <w:pPr>
                            <w:spacing w:after="200" w:line="276" w:lineRule="auto"/>
                            <w:rPr>
                              <w:rFonts w:ascii="Cambria" w:hAnsi="Cambria"/>
                              <w:sz w:val="48"/>
                              <w:szCs w:val="48"/>
                              <w:lang w:val="es-MX" w:eastAsia="en-US"/>
                            </w:rPr>
                          </w:pPr>
                          <w:r w:rsidRPr="009047AA">
                            <w:rPr>
                              <w:rFonts w:ascii="Calibri" w:hAnsi="Calibri"/>
                              <w:sz w:val="22"/>
                              <w:szCs w:val="22"/>
                              <w:lang w:val="es-MX" w:eastAsia="en-US"/>
                            </w:rPr>
                            <w:fldChar w:fldCharType="begin"/>
                          </w:r>
                          <w:r w:rsidRPr="009047AA">
                            <w:rPr>
                              <w:rFonts w:ascii="Calibri" w:eastAsia="Calibri" w:hAnsi="Calibri"/>
                              <w:sz w:val="22"/>
                              <w:szCs w:val="22"/>
                              <w:lang w:val="es-MX" w:eastAsia="en-US"/>
                            </w:rPr>
                            <w:instrText>PAGE   \* MERGEFORMAT</w:instrText>
                          </w:r>
                          <w:r w:rsidRPr="009047AA">
                            <w:rPr>
                              <w:rFonts w:ascii="Calibri" w:hAnsi="Calibri"/>
                              <w:sz w:val="22"/>
                              <w:szCs w:val="22"/>
                              <w:lang w:val="es-MX" w:eastAsia="en-US"/>
                            </w:rPr>
                            <w:fldChar w:fldCharType="separate"/>
                          </w:r>
                          <w:r w:rsidRPr="009B1621">
                            <w:rPr>
                              <w:rFonts w:ascii="Cambria" w:hAnsi="Cambria"/>
                              <w:noProof/>
                              <w:sz w:val="48"/>
                              <w:szCs w:val="48"/>
                              <w:lang w:val="es-ES" w:eastAsia="en-US"/>
                            </w:rPr>
                            <w:t>4</w:t>
                          </w:r>
                          <w:r w:rsidRPr="009047AA">
                            <w:rPr>
                              <w:rFonts w:ascii="Cambria" w:hAnsi="Cambria"/>
                              <w:sz w:val="48"/>
                              <w:szCs w:val="48"/>
                              <w:lang w:val="es-MX" w:eastAsia="en-US"/>
                            </w:rP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B3C024E" id="Rectángulo 544" o:spid="_x0000_s1027" style="position:absolute;margin-left:0;margin-top:444.1pt;width:40.85pt;height:73.45pt;z-index:25166028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" o:allowincell="f" stroked="f">
              <v:textbox>
                <w:txbxContent>
                  <w:p w:rsidR="006641BB" w:rsidRPr="009047AA" w:rsidRDefault="003F1E64" w:rsidP="0086663C">
                    <w:pPr>
                      <w:spacing w:after="200" w:line="276" w:lineRule="auto"/>
                      <w:rPr>
                        <w:rFonts w:ascii="Cambria" w:hAnsi="Cambria"/>
                        <w:sz w:val="48"/>
                        <w:szCs w:val="48"/>
                        <w:lang w:val="es-MX" w:eastAsia="en-US"/>
                      </w:rPr>
                    </w:pPr>
                    <w:r w:rsidRPr="009047AA">
                      <w:rPr>
                        <w:rFonts w:ascii="Calibri" w:hAnsi="Calibri"/>
                        <w:sz w:val="22"/>
                        <w:szCs w:val="22"/>
                        <w:lang w:val="es-MX" w:eastAsia="en-US"/>
                      </w:rPr>
                      <w:fldChar w:fldCharType="begin"/>
                    </w:r>
                    <w:r w:rsidRPr="009047AA">
                      <w:rPr>
                        <w:rFonts w:ascii="Calibri" w:eastAsia="Calibri" w:hAnsi="Calibri"/>
                        <w:sz w:val="22"/>
                        <w:szCs w:val="22"/>
                        <w:lang w:val="es-MX" w:eastAsia="en-US"/>
                      </w:rPr>
                      <w:instrText>PAGE   \* MERGEFORMAT</w:instrText>
                    </w:r>
                    <w:r w:rsidRPr="009047AA">
                      <w:rPr>
                        <w:rFonts w:ascii="Calibri" w:hAnsi="Calibri"/>
                        <w:sz w:val="22"/>
                        <w:szCs w:val="22"/>
                        <w:lang w:val="es-MX" w:eastAsia="en-US"/>
                      </w:rPr>
                      <w:fldChar w:fldCharType="separate"/>
                    </w:r>
                    <w:r w:rsidRPr="009B1621">
                      <w:rPr>
                        <w:rFonts w:ascii="Cambria" w:hAnsi="Cambria"/>
                        <w:noProof/>
                        <w:sz w:val="48"/>
                        <w:szCs w:val="48"/>
                        <w:lang w:val="es-ES" w:eastAsia="en-US"/>
                      </w:rPr>
                      <w:t>4</w:t>
                    </w:r>
                    <w:r w:rsidRPr="009047AA">
                      <w:rPr>
                        <w:rFonts w:ascii="Cambria" w:hAnsi="Cambria"/>
                        <w:sz w:val="48"/>
                        <w:szCs w:val="48"/>
                        <w:lang w:val="es-MX" w:eastAsia="en-US"/>
                      </w:rPr>
                      <w:fldChar w:fldCharType="end"/>
                    </w:r>
                  </w:p>
                </w:txbxContent>
              </v:textbox>
              <w10:wrap anchorx="page" anchory="page"/>
            </v:rect>
          </w:pict>
        </mc:Fallback>
      </mc:AlternateContent>
    </w:r>
    <w:r w:rsidRPr="00FD6ECF">
      <w:rPr>
        <w:rFonts w:ascii="Arial" w:hAnsi="Arial" w:cs="Arial"/>
        <w:b/>
        <w:sz w:val="20"/>
        <w:szCs w:val="20"/>
        <w:lang w:val="es-MX"/>
      </w:rPr>
      <w:t>SM-JDC-19/2017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1BB" w:rsidRPr="00E8635C" w:rsidRDefault="003F1E64" w:rsidP="0086663C">
    <w:pPr>
      <w:pStyle w:val="Encabezado"/>
      <w:spacing w:after="240"/>
      <w:jc w:val="right"/>
      <w:rPr>
        <w:rFonts w:ascii="Univers" w:hAnsi="Univers"/>
        <w:sz w:val="20"/>
        <w:szCs w:val="20"/>
        <w:lang w:val="es-MX"/>
      </w:rPr>
    </w:pPr>
    <w:r>
      <w:rPr>
        <w:noProof/>
        <w:lang w:val="es-MX" w:eastAsia="es-MX"/>
      </w:rPr>
      <mc:AlternateContent>
        <mc:Choice Requires="wps">
          <w:drawing>
            <wp:anchor distT="0" distB="0" distL="114300" distR="114300" simplePos="0" relativeHeight="251661312" behindDoc="0" locked="0" layoutInCell="0" allowOverlap="1" wp14:anchorId="33F84B9C" wp14:editId="57795D1D">
              <wp:simplePos x="0" y="0"/>
              <wp:positionH relativeFrom="page">
                <wp:posOffset>7068185</wp:posOffset>
              </wp:positionH>
              <wp:positionV relativeFrom="page">
                <wp:posOffset>5673090</wp:posOffset>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6641BB" w:rsidRPr="009047AA" w:rsidRDefault="003F1E64">
                          <w:pPr>
                            <w:jc w:val="center"/>
                            <w:rPr>
                              <w:rFonts w:ascii="Cambria" w:hAnsi="Cambria"/>
                              <w:sz w:val="72"/>
                              <w:szCs w:val="72"/>
                            </w:rPr>
                          </w:pPr>
                          <w:r w:rsidRPr="009047AA">
                            <w:rPr>
                              <w:rFonts w:ascii="Calibri" w:hAnsi="Calibri"/>
                              <w:sz w:val="22"/>
                              <w:szCs w:val="22"/>
                            </w:rPr>
                            <w:fldChar w:fldCharType="begin"/>
                          </w:r>
                          <w:r>
                            <w:instrText>PAGE  \* MERGEFORMAT</w:instrText>
                          </w:r>
                          <w:r w:rsidRPr="009047AA">
                            <w:rPr>
                              <w:rFonts w:ascii="Calibri" w:hAnsi="Calibri"/>
                              <w:sz w:val="22"/>
                              <w:szCs w:val="22"/>
                            </w:rPr>
                            <w:fldChar w:fldCharType="separate"/>
                          </w:r>
                          <w:r w:rsidR="0025495D" w:rsidRPr="0025495D">
                            <w:rPr>
                              <w:rFonts w:ascii="Cambria" w:hAnsi="Cambria"/>
                              <w:noProof/>
                              <w:sz w:val="48"/>
                              <w:szCs w:val="48"/>
                              <w:lang w:val="es-ES"/>
                            </w:rPr>
                            <w:t>2</w:t>
                          </w:r>
                          <w:r w:rsidRPr="009047AA">
                            <w:rPr>
                              <w:rFonts w:ascii="Cambria"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59" o:spid="_x0000_s1028" style="position:absolute;left:0;text-align:left;margin-left:556.55pt;margin-top:446.7pt;width:60pt;height:7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" o:allowincell="f" stroked="f">
              <v:textbox>
                <w:txbxContent>
                  <w:p w:rsidR="006641BB" w:rsidRPr="009047AA" w:rsidRDefault="003F1E64">
                    <w:pPr>
                      <w:jc w:val="center"/>
                      <w:rPr>
                        <w:rFonts w:ascii="Cambria" w:hAnsi="Cambria"/>
                        <w:sz w:val="72"/>
                        <w:szCs w:val="72"/>
                      </w:rPr>
                    </w:pPr>
                    <w:r w:rsidRPr="009047AA">
                      <w:rPr>
                        <w:rFonts w:ascii="Calibri" w:hAnsi="Calibri"/>
                        <w:sz w:val="22"/>
                        <w:szCs w:val="22"/>
                      </w:rPr>
                      <w:fldChar w:fldCharType="begin"/>
                    </w:r>
                    <w:r>
                      <w:instrText>PAGE  \* MERGEFORMAT</w:instrText>
                    </w:r>
                    <w:r w:rsidRPr="009047AA">
                      <w:rPr>
                        <w:rFonts w:ascii="Calibri" w:hAnsi="Calibri"/>
                        <w:sz w:val="22"/>
                        <w:szCs w:val="22"/>
                      </w:rPr>
                      <w:fldChar w:fldCharType="separate"/>
                    </w:r>
                    <w:r w:rsidR="0025495D" w:rsidRPr="0025495D">
                      <w:rPr>
                        <w:rFonts w:ascii="Cambria" w:hAnsi="Cambria"/>
                        <w:noProof/>
                        <w:sz w:val="48"/>
                        <w:szCs w:val="48"/>
                        <w:lang w:val="es-ES"/>
                      </w:rPr>
                      <w:t>2</w:t>
                    </w:r>
                    <w:r w:rsidRPr="009047AA">
                      <w:rPr>
                        <w:rFonts w:ascii="Cambria" w:hAnsi="Cambria"/>
                        <w:sz w:val="48"/>
                        <w:szCs w:val="48"/>
                      </w:rPr>
                      <w:fldChar w:fldCharType="end"/>
                    </w:r>
                  </w:p>
                </w:txbxContent>
              </v:textbox>
              <w10:wrap anchorx="page" anchory="page"/>
            </v:rect>
          </w:pict>
        </mc:Fallback>
      </mc:AlternateContent>
    </w:r>
    <w:r>
      <w:rPr>
        <w:rFonts w:ascii="Arial" w:hAnsi="Arial" w:cs="Arial"/>
        <w:b/>
        <w:noProof/>
        <w:lang w:val="es-MX" w:eastAsia="es-MX"/>
      </w:rPr>
      <w:drawing>
        <wp:anchor distT="0" distB="0" distL="114300" distR="114300" simplePos="0" relativeHeight="251659264" behindDoc="1" locked="0" layoutInCell="1" allowOverlap="1" wp14:anchorId="65F5F946" wp14:editId="2868E72B">
          <wp:simplePos x="0" y="0"/>
          <wp:positionH relativeFrom="column">
            <wp:posOffset>-1627505</wp:posOffset>
          </wp:positionH>
          <wp:positionV relativeFrom="paragraph">
            <wp:posOffset>129540</wp:posOffset>
          </wp:positionV>
          <wp:extent cx="1373760" cy="1144800"/>
          <wp:effectExtent l="0" t="0" r="0" b="0"/>
          <wp:wrapTight wrapText="bothSides">
            <wp:wrapPolygon edited="0">
              <wp:start x="0" y="0"/>
              <wp:lineTo x="0" y="21216"/>
              <wp:lineTo x="21270" y="21216"/>
              <wp:lineTo x="21270" y="0"/>
              <wp:lineTo x="0" y="0"/>
            </wp:wrapPolygon>
          </wp:wrapTight>
          <wp:docPr id="3" name="Imagen 3"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identidad/logo_simbol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73760" cy="1144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0"/>
        <w:szCs w:val="20"/>
        <w:lang w:val="es-MX"/>
      </w:rPr>
      <w:t>S</w:t>
    </w:r>
    <w:r w:rsidRPr="00E8635C">
      <w:rPr>
        <w:rFonts w:ascii="Arial" w:hAnsi="Arial" w:cs="Arial"/>
        <w:b/>
        <w:sz w:val="20"/>
        <w:szCs w:val="20"/>
        <w:lang w:val="es-MX"/>
      </w:rPr>
      <w:t>M-</w:t>
    </w:r>
    <w:r>
      <w:rPr>
        <w:rFonts w:ascii="Arial" w:hAnsi="Arial" w:cs="Arial"/>
        <w:b/>
        <w:sz w:val="20"/>
        <w:szCs w:val="20"/>
        <w:lang w:val="es-MX"/>
      </w:rPr>
      <w:t>JDC</w:t>
    </w:r>
    <w:r w:rsidRPr="00E8635C">
      <w:rPr>
        <w:rFonts w:ascii="Arial" w:hAnsi="Arial" w:cs="Arial"/>
        <w:b/>
        <w:sz w:val="20"/>
        <w:szCs w:val="20"/>
        <w:lang w:val="es-MX"/>
      </w:rPr>
      <w:t>-</w:t>
    </w:r>
    <w:r w:rsidR="00A419AA">
      <w:rPr>
        <w:rFonts w:ascii="Arial" w:hAnsi="Arial" w:cs="Arial"/>
        <w:b/>
        <w:sz w:val="20"/>
        <w:szCs w:val="20"/>
        <w:lang w:val="es-MX"/>
      </w:rPr>
      <w:t>45</w:t>
    </w:r>
    <w:r>
      <w:rPr>
        <w:rFonts w:ascii="Arial" w:hAnsi="Arial" w:cs="Arial"/>
        <w:b/>
        <w:sz w:val="20"/>
        <w:szCs w:val="20"/>
        <w:lang w:val="es-MX"/>
      </w:rPr>
      <w:t>/2017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1BB" w:rsidRDefault="003F1E64">
    <w:pPr>
      <w:pStyle w:val="Encabezado"/>
    </w:pPr>
    <w:r>
      <w:rPr>
        <w:noProof/>
        <w:lang w:val="es-MX" w:eastAsia="es-MX"/>
      </w:rPr>
      <w:drawing>
        <wp:anchor distT="0" distB="0" distL="114300" distR="114300" simplePos="0" relativeHeight="251663360" behindDoc="0" locked="0" layoutInCell="1" allowOverlap="1" wp14:anchorId="5B79364F" wp14:editId="54255ECC">
          <wp:simplePos x="0" y="0"/>
          <wp:positionH relativeFrom="column">
            <wp:posOffset>-1628140</wp:posOffset>
          </wp:positionH>
          <wp:positionV relativeFrom="paragraph">
            <wp:posOffset>129169</wp:posOffset>
          </wp:positionV>
          <wp:extent cx="1377950" cy="1192530"/>
          <wp:effectExtent l="0" t="0" r="0" b="762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34C31"/>
    <w:multiLevelType w:val="hybridMultilevel"/>
    <w:tmpl w:val="418C013C"/>
    <w:lvl w:ilvl="0" w:tplc="D1A662D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F4C2940"/>
    <w:multiLevelType w:val="hybridMultilevel"/>
    <w:tmpl w:val="4FD05456"/>
    <w:lvl w:ilvl="0" w:tplc="080A0019">
      <w:start w:val="1"/>
      <w:numFmt w:val="lowerLetter"/>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43C779BD"/>
    <w:multiLevelType w:val="hybridMultilevel"/>
    <w:tmpl w:val="204A035C"/>
    <w:lvl w:ilvl="0" w:tplc="34B8FA1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17C6B96"/>
    <w:multiLevelType w:val="hybridMultilevel"/>
    <w:tmpl w:val="4A6212D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B79"/>
    <w:rsid w:val="00022158"/>
    <w:rsid w:val="00026C87"/>
    <w:rsid w:val="0003417D"/>
    <w:rsid w:val="00085350"/>
    <w:rsid w:val="000871CC"/>
    <w:rsid w:val="00092CE7"/>
    <w:rsid w:val="0009755E"/>
    <w:rsid w:val="000C3DA2"/>
    <w:rsid w:val="000C41E9"/>
    <w:rsid w:val="000C4927"/>
    <w:rsid w:val="000C4D90"/>
    <w:rsid w:val="000F51CA"/>
    <w:rsid w:val="00135C39"/>
    <w:rsid w:val="001516B5"/>
    <w:rsid w:val="00193021"/>
    <w:rsid w:val="001B303D"/>
    <w:rsid w:val="001D4927"/>
    <w:rsid w:val="001D492B"/>
    <w:rsid w:val="001E066F"/>
    <w:rsid w:val="001F1421"/>
    <w:rsid w:val="00253646"/>
    <w:rsid w:val="0025495D"/>
    <w:rsid w:val="002817A4"/>
    <w:rsid w:val="00281A25"/>
    <w:rsid w:val="00283F01"/>
    <w:rsid w:val="00286114"/>
    <w:rsid w:val="00294675"/>
    <w:rsid w:val="002B1566"/>
    <w:rsid w:val="002D287E"/>
    <w:rsid w:val="002D5D1C"/>
    <w:rsid w:val="002F2397"/>
    <w:rsid w:val="00347FE1"/>
    <w:rsid w:val="003B3D31"/>
    <w:rsid w:val="003D114F"/>
    <w:rsid w:val="003E232E"/>
    <w:rsid w:val="003E4CB6"/>
    <w:rsid w:val="003E65D1"/>
    <w:rsid w:val="003F1E64"/>
    <w:rsid w:val="004157FB"/>
    <w:rsid w:val="00415F86"/>
    <w:rsid w:val="00437CEB"/>
    <w:rsid w:val="004549C4"/>
    <w:rsid w:val="00474BF4"/>
    <w:rsid w:val="004B01F0"/>
    <w:rsid w:val="004B3B01"/>
    <w:rsid w:val="004F3A44"/>
    <w:rsid w:val="005070E5"/>
    <w:rsid w:val="0051702A"/>
    <w:rsid w:val="0052057D"/>
    <w:rsid w:val="005C4139"/>
    <w:rsid w:val="00666842"/>
    <w:rsid w:val="0067472B"/>
    <w:rsid w:val="00680FBE"/>
    <w:rsid w:val="00684CA4"/>
    <w:rsid w:val="006A5D9E"/>
    <w:rsid w:val="006B760C"/>
    <w:rsid w:val="007259C7"/>
    <w:rsid w:val="00771D87"/>
    <w:rsid w:val="007750E0"/>
    <w:rsid w:val="007A3A34"/>
    <w:rsid w:val="007A6B0A"/>
    <w:rsid w:val="007C1A43"/>
    <w:rsid w:val="007D1D62"/>
    <w:rsid w:val="007E408D"/>
    <w:rsid w:val="00812CDD"/>
    <w:rsid w:val="00832B4E"/>
    <w:rsid w:val="00833437"/>
    <w:rsid w:val="008C2EEB"/>
    <w:rsid w:val="008C5760"/>
    <w:rsid w:val="008F2FBE"/>
    <w:rsid w:val="008F30EA"/>
    <w:rsid w:val="00911259"/>
    <w:rsid w:val="0095568E"/>
    <w:rsid w:val="0099432C"/>
    <w:rsid w:val="009A51FD"/>
    <w:rsid w:val="009C258B"/>
    <w:rsid w:val="00A14B79"/>
    <w:rsid w:val="00A419AA"/>
    <w:rsid w:val="00A450DB"/>
    <w:rsid w:val="00A6737F"/>
    <w:rsid w:val="00A72E8F"/>
    <w:rsid w:val="00A83F72"/>
    <w:rsid w:val="00AA0044"/>
    <w:rsid w:val="00AE7546"/>
    <w:rsid w:val="00B1178D"/>
    <w:rsid w:val="00B3114A"/>
    <w:rsid w:val="00B451F8"/>
    <w:rsid w:val="00B731D4"/>
    <w:rsid w:val="00BA2485"/>
    <w:rsid w:val="00BA319C"/>
    <w:rsid w:val="00BD2654"/>
    <w:rsid w:val="00BF3B32"/>
    <w:rsid w:val="00C147B9"/>
    <w:rsid w:val="00C23A3E"/>
    <w:rsid w:val="00C2754B"/>
    <w:rsid w:val="00C5383A"/>
    <w:rsid w:val="00CA121C"/>
    <w:rsid w:val="00CA3D01"/>
    <w:rsid w:val="00CC0102"/>
    <w:rsid w:val="00CC16F3"/>
    <w:rsid w:val="00D5109A"/>
    <w:rsid w:val="00DB065A"/>
    <w:rsid w:val="00E10F79"/>
    <w:rsid w:val="00E424AF"/>
    <w:rsid w:val="00E73B93"/>
    <w:rsid w:val="00EB1F06"/>
    <w:rsid w:val="00EB34B0"/>
    <w:rsid w:val="00EB4B11"/>
    <w:rsid w:val="00EF7E4F"/>
    <w:rsid w:val="00F331F4"/>
    <w:rsid w:val="00F62261"/>
    <w:rsid w:val="00F71D1C"/>
    <w:rsid w:val="00FF71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B79"/>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14B79"/>
    <w:pPr>
      <w:spacing w:after="0" w:line="240" w:lineRule="auto"/>
      <w:jc w:val="both"/>
    </w:pPr>
    <w:rPr>
      <w:rFonts w:ascii="Arial" w:hAnsi="Arial" w:cs="Times New Roman"/>
      <w:sz w:val="18"/>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A14B79"/>
    <w:rPr>
      <w:lang w:eastAsia="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A14B79"/>
    <w:rPr>
      <w:rFonts w:ascii="Times New Roman" w:eastAsia="Times New Roman" w:hAnsi="Times New Roman" w:cs="Times New Roman"/>
      <w:sz w:val="24"/>
      <w:szCs w:val="24"/>
      <w:lang w:val="es-ES_tradnl" w:eastAsia="es-MX"/>
    </w:rPr>
  </w:style>
  <w:style w:type="paragraph" w:styleId="Encabezado">
    <w:name w:val="header"/>
    <w:basedOn w:val="Normal"/>
    <w:link w:val="EncabezadoCar"/>
    <w:rsid w:val="00A14B79"/>
    <w:pPr>
      <w:tabs>
        <w:tab w:val="center" w:pos="4419"/>
        <w:tab w:val="right" w:pos="8838"/>
      </w:tabs>
    </w:pPr>
  </w:style>
  <w:style w:type="character" w:customStyle="1" w:styleId="EncabezadoCar">
    <w:name w:val="Encabezado Car"/>
    <w:basedOn w:val="Fuentedeprrafopredeter"/>
    <w:link w:val="Encabezado"/>
    <w:rsid w:val="00A14B79"/>
    <w:rPr>
      <w:rFonts w:ascii="Times New Roman" w:eastAsia="Times New Roman" w:hAnsi="Times New Roman" w:cs="Times New Roman"/>
      <w:sz w:val="24"/>
      <w:szCs w:val="24"/>
      <w:lang w:val="es-ES_tradnl" w:eastAsia="es-ES"/>
    </w:rPr>
  </w:style>
  <w:style w:type="paragraph" w:styleId="Piedepgina">
    <w:name w:val="footer"/>
    <w:basedOn w:val="Normal"/>
    <w:link w:val="PiedepginaCar"/>
    <w:rsid w:val="00A14B79"/>
    <w:pPr>
      <w:tabs>
        <w:tab w:val="center" w:pos="4419"/>
        <w:tab w:val="right" w:pos="8838"/>
      </w:tabs>
    </w:pPr>
  </w:style>
  <w:style w:type="character" w:customStyle="1" w:styleId="PiedepginaCar">
    <w:name w:val="Pie de página Car"/>
    <w:basedOn w:val="Fuentedeprrafopredeter"/>
    <w:link w:val="Piedepgina"/>
    <w:rsid w:val="00A14B79"/>
    <w:rPr>
      <w:rFonts w:ascii="Times New Roman" w:eastAsia="Times New Roman" w:hAnsi="Times New Roman" w:cs="Times New Roman"/>
      <w:sz w:val="24"/>
      <w:szCs w:val="24"/>
      <w:lang w:val="es-ES_tradnl" w:eastAsia="es-ES"/>
    </w:rPr>
  </w:style>
  <w:style w:type="paragraph" w:styleId="Textonotapie">
    <w:name w:val="footnote text"/>
    <w:aliases w:val="FA Fu,Footnote reference,Footnote Text Char Char Char Char Char,Footnote Text Char Char Char Char,Footnote Text Char Char Char,Footnote Text Cha,FA Fußnotentext,FA Fu?notentext,Footnote Text Char Char,FA Fuﬂnotentext,Ca,FA Fu?notente,Ca1"/>
    <w:basedOn w:val="Normal"/>
    <w:link w:val="TextonotapieCar"/>
    <w:uiPriority w:val="99"/>
    <w:unhideWhenUsed/>
    <w:qFormat/>
    <w:rsid w:val="00A14B79"/>
    <w:rPr>
      <w:sz w:val="20"/>
      <w:szCs w:val="20"/>
    </w:rPr>
  </w:style>
  <w:style w:type="character" w:customStyle="1" w:styleId="TextonotapieCar">
    <w:name w:val="Texto nota pie Car"/>
    <w:aliases w:val="FA Fu Car,Footnote reference Car,Footnote Text Char Char Char Char Char Car,Footnote Text Char Char Char Char Car,Footnote Text Char Char Char Car,Footnote Text Cha Car,FA Fußnotentext Car,FA Fu?notentext Car,FA Fuﬂnotentext Car"/>
    <w:basedOn w:val="Fuentedeprrafopredeter"/>
    <w:link w:val="Textonotapie"/>
    <w:uiPriority w:val="99"/>
    <w:rsid w:val="00A14B79"/>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Footnote Reference,ftre"/>
    <w:basedOn w:val="Fuentedeprrafopredeter"/>
    <w:uiPriority w:val="99"/>
    <w:unhideWhenUsed/>
    <w:qFormat/>
    <w:rsid w:val="00A14B79"/>
    <w:rPr>
      <w:vertAlign w:val="superscript"/>
    </w:rPr>
  </w:style>
  <w:style w:type="paragraph" w:styleId="Prrafodelista">
    <w:name w:val="List Paragraph"/>
    <w:basedOn w:val="Normal"/>
    <w:uiPriority w:val="34"/>
    <w:qFormat/>
    <w:rsid w:val="00474BF4"/>
    <w:pPr>
      <w:ind w:left="720"/>
      <w:contextualSpacing/>
    </w:pPr>
  </w:style>
  <w:style w:type="character" w:styleId="Hipervnculo">
    <w:name w:val="Hyperlink"/>
    <w:basedOn w:val="Fuentedeprrafopredeter"/>
    <w:uiPriority w:val="99"/>
    <w:unhideWhenUsed/>
    <w:rsid w:val="007A3A34"/>
    <w:rPr>
      <w:color w:val="0563C1" w:themeColor="hyperlink"/>
      <w:u w:val="single"/>
    </w:rPr>
  </w:style>
  <w:style w:type="paragraph" w:styleId="Textodeglobo">
    <w:name w:val="Balloon Text"/>
    <w:basedOn w:val="Normal"/>
    <w:link w:val="TextodegloboCar"/>
    <w:uiPriority w:val="99"/>
    <w:semiHidden/>
    <w:unhideWhenUsed/>
    <w:rsid w:val="00CA121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121C"/>
    <w:rPr>
      <w:rFonts w:ascii="Segoe UI" w:eastAsia="Times New Roman" w:hAnsi="Segoe UI" w:cs="Segoe UI"/>
      <w:sz w:val="18"/>
      <w:szCs w:val="18"/>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B79"/>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14B79"/>
    <w:pPr>
      <w:spacing w:after="0" w:line="240" w:lineRule="auto"/>
      <w:jc w:val="both"/>
    </w:pPr>
    <w:rPr>
      <w:rFonts w:ascii="Arial" w:hAnsi="Arial" w:cs="Times New Roman"/>
      <w:sz w:val="18"/>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A14B79"/>
    <w:rPr>
      <w:lang w:eastAsia="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A14B79"/>
    <w:rPr>
      <w:rFonts w:ascii="Times New Roman" w:eastAsia="Times New Roman" w:hAnsi="Times New Roman" w:cs="Times New Roman"/>
      <w:sz w:val="24"/>
      <w:szCs w:val="24"/>
      <w:lang w:val="es-ES_tradnl" w:eastAsia="es-MX"/>
    </w:rPr>
  </w:style>
  <w:style w:type="paragraph" w:styleId="Encabezado">
    <w:name w:val="header"/>
    <w:basedOn w:val="Normal"/>
    <w:link w:val="EncabezadoCar"/>
    <w:rsid w:val="00A14B79"/>
    <w:pPr>
      <w:tabs>
        <w:tab w:val="center" w:pos="4419"/>
        <w:tab w:val="right" w:pos="8838"/>
      </w:tabs>
    </w:pPr>
  </w:style>
  <w:style w:type="character" w:customStyle="1" w:styleId="EncabezadoCar">
    <w:name w:val="Encabezado Car"/>
    <w:basedOn w:val="Fuentedeprrafopredeter"/>
    <w:link w:val="Encabezado"/>
    <w:rsid w:val="00A14B79"/>
    <w:rPr>
      <w:rFonts w:ascii="Times New Roman" w:eastAsia="Times New Roman" w:hAnsi="Times New Roman" w:cs="Times New Roman"/>
      <w:sz w:val="24"/>
      <w:szCs w:val="24"/>
      <w:lang w:val="es-ES_tradnl" w:eastAsia="es-ES"/>
    </w:rPr>
  </w:style>
  <w:style w:type="paragraph" w:styleId="Piedepgina">
    <w:name w:val="footer"/>
    <w:basedOn w:val="Normal"/>
    <w:link w:val="PiedepginaCar"/>
    <w:rsid w:val="00A14B79"/>
    <w:pPr>
      <w:tabs>
        <w:tab w:val="center" w:pos="4419"/>
        <w:tab w:val="right" w:pos="8838"/>
      </w:tabs>
    </w:pPr>
  </w:style>
  <w:style w:type="character" w:customStyle="1" w:styleId="PiedepginaCar">
    <w:name w:val="Pie de página Car"/>
    <w:basedOn w:val="Fuentedeprrafopredeter"/>
    <w:link w:val="Piedepgina"/>
    <w:rsid w:val="00A14B79"/>
    <w:rPr>
      <w:rFonts w:ascii="Times New Roman" w:eastAsia="Times New Roman" w:hAnsi="Times New Roman" w:cs="Times New Roman"/>
      <w:sz w:val="24"/>
      <w:szCs w:val="24"/>
      <w:lang w:val="es-ES_tradnl" w:eastAsia="es-ES"/>
    </w:rPr>
  </w:style>
  <w:style w:type="paragraph" w:styleId="Textonotapie">
    <w:name w:val="footnote text"/>
    <w:aliases w:val="FA Fu,Footnote reference,Footnote Text Char Char Char Char Char,Footnote Text Char Char Char Char,Footnote Text Char Char Char,Footnote Text Cha,FA Fußnotentext,FA Fu?notentext,Footnote Text Char Char,FA Fuﬂnotentext,Ca,FA Fu?notente,Ca1"/>
    <w:basedOn w:val="Normal"/>
    <w:link w:val="TextonotapieCar"/>
    <w:uiPriority w:val="99"/>
    <w:unhideWhenUsed/>
    <w:qFormat/>
    <w:rsid w:val="00A14B79"/>
    <w:rPr>
      <w:sz w:val="20"/>
      <w:szCs w:val="20"/>
    </w:rPr>
  </w:style>
  <w:style w:type="character" w:customStyle="1" w:styleId="TextonotapieCar">
    <w:name w:val="Texto nota pie Car"/>
    <w:aliases w:val="FA Fu Car,Footnote reference Car,Footnote Text Char Char Char Char Char Car,Footnote Text Char Char Char Char Car,Footnote Text Char Char Char Car,Footnote Text Cha Car,FA Fußnotentext Car,FA Fu?notentext Car,FA Fuﬂnotentext Car"/>
    <w:basedOn w:val="Fuentedeprrafopredeter"/>
    <w:link w:val="Textonotapie"/>
    <w:uiPriority w:val="99"/>
    <w:rsid w:val="00A14B79"/>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Footnote Reference,ftre"/>
    <w:basedOn w:val="Fuentedeprrafopredeter"/>
    <w:uiPriority w:val="99"/>
    <w:unhideWhenUsed/>
    <w:qFormat/>
    <w:rsid w:val="00A14B79"/>
    <w:rPr>
      <w:vertAlign w:val="superscript"/>
    </w:rPr>
  </w:style>
  <w:style w:type="paragraph" w:styleId="Prrafodelista">
    <w:name w:val="List Paragraph"/>
    <w:basedOn w:val="Normal"/>
    <w:uiPriority w:val="34"/>
    <w:qFormat/>
    <w:rsid w:val="00474BF4"/>
    <w:pPr>
      <w:ind w:left="720"/>
      <w:contextualSpacing/>
    </w:pPr>
  </w:style>
  <w:style w:type="character" w:styleId="Hipervnculo">
    <w:name w:val="Hyperlink"/>
    <w:basedOn w:val="Fuentedeprrafopredeter"/>
    <w:uiPriority w:val="99"/>
    <w:unhideWhenUsed/>
    <w:rsid w:val="007A3A34"/>
    <w:rPr>
      <w:color w:val="0563C1" w:themeColor="hyperlink"/>
      <w:u w:val="single"/>
    </w:rPr>
  </w:style>
  <w:style w:type="paragraph" w:styleId="Textodeglobo">
    <w:name w:val="Balloon Text"/>
    <w:basedOn w:val="Normal"/>
    <w:link w:val="TextodegloboCar"/>
    <w:uiPriority w:val="99"/>
    <w:semiHidden/>
    <w:unhideWhenUsed/>
    <w:rsid w:val="00CA121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121C"/>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http://intranet/identidad/logo_simbolo.jpg"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5C1B8-78A4-4346-AD19-AE3DCB491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469</Words>
  <Characters>2580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Guadalupe Vázquez Orozco</dc:creator>
  <cp:lastModifiedBy>Jorge Alberto Saenz Marines</cp:lastModifiedBy>
  <cp:revision>4</cp:revision>
  <cp:lastPrinted>2017-04-24T20:08:00Z</cp:lastPrinted>
  <dcterms:created xsi:type="dcterms:W3CDTF">2017-04-21T17:50:00Z</dcterms:created>
  <dcterms:modified xsi:type="dcterms:W3CDTF">2017-04-24T21:33:00Z</dcterms:modified>
</cp:coreProperties>
</file>